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98" w:rsidRPr="00460798" w:rsidRDefault="00750649" w:rsidP="005B6B79">
      <w:pPr>
        <w:autoSpaceDE/>
        <w:autoSpaceDN/>
        <w:adjustRightInd/>
        <w:spacing w:after="0"/>
        <w:ind w:right="-455"/>
        <w:jc w:val="right"/>
      </w:pPr>
      <w:r>
        <w:rPr>
          <w:b/>
          <w:noProof/>
          <w:lang w:eastAsia="en-GB"/>
        </w:rPr>
        <w:pict>
          <v:shapetype id="_x0000_t202" coordsize="21600,21600" o:spt="202" path="m,l,21600r21600,l21600,xe">
            <v:stroke joinstyle="miter"/>
            <v:path gradientshapeok="t" o:connecttype="rect"/>
          </v:shapetype>
          <v:shape id="Text Box 2" o:spid="_x0000_s1027" type="#_x0000_t202" style="position:absolute;left:0;text-align:left;margin-left:318.85pt;margin-top:579.85pt;width:208.3pt;height:74.4pt;z-index:2516597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" stroked="f">
            <v:textbox style="mso-fit-shape-to-text:t">
              <w:txbxContent>
                <w:p w:rsidR="00287D86" w:rsidRDefault="00287D86" w:rsidP="00303427">
                  <w:pPr>
                    <w:jc w:val="center"/>
                  </w:pPr>
                  <w:r>
                    <w:t xml:space="preserve">Lancashire County Council as administering authority of </w:t>
                  </w:r>
                  <w:r w:rsidRPr="00E853B8">
                    <w:rPr>
                      <w:b/>
                    </w:rPr>
                    <w:t>Lancashire County Pension Fund</w:t>
                  </w:r>
                </w:p>
                <w:p w:rsidR="00287D86" w:rsidRDefault="00287D86"/>
              </w:txbxContent>
            </v:textbox>
          </v:shape>
        </w:pict>
      </w:r>
      <w:r>
        <w:rPr>
          <w:b/>
          <w:noProof/>
          <w:lang w:eastAsia="en-GB"/>
        </w:rPr>
        <w:pict>
          <v:shape id="Text Box 4" o:spid="_x0000_s1026" type="#_x0000_t202" style="position:absolute;left:0;text-align:left;margin-left:17.15pt;margin-top:368.5pt;width:288.85pt;height:306.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Cb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" filled="f" stroked="f">
            <v:textbox>
              <w:txbxContent>
                <w:p w:rsidR="00287D86" w:rsidRPr="00E853B8" w:rsidRDefault="00287D86" w:rsidP="00303427">
                  <w:pPr>
                    <w:pStyle w:val="Title"/>
                    <w:jc w:val="left"/>
                    <w:rPr>
                      <w:sz w:val="96"/>
                      <w:szCs w:val="96"/>
                    </w:rPr>
                  </w:pPr>
                  <w:r w:rsidRPr="00E853B8">
                    <w:rPr>
                      <w:sz w:val="96"/>
                      <w:szCs w:val="96"/>
                    </w:rPr>
                    <w:t>Lancashire County Pension Fund</w:t>
                  </w:r>
                </w:p>
                <w:p w:rsidR="00287D86" w:rsidRDefault="00287D86" w:rsidP="00303427">
                  <w:pPr>
                    <w:pStyle w:val="Title2"/>
                    <w:jc w:val="left"/>
                  </w:pPr>
                  <w:bookmarkStart w:id="0" w:name="_Toc307236626"/>
                  <w:r>
                    <w:t>Funding Strategy Statement 2013</w:t>
                  </w:r>
                  <w:bookmarkEnd w:id="0"/>
                </w:p>
                <w:p w:rsidR="00460798" w:rsidRDefault="00460798" w:rsidP="00460798">
                  <w:pPr>
                    <w:jc w:val="left"/>
                  </w:pPr>
                  <w:r>
                    <w:t>For consideration by Pension Fund Committee on 27 March 2014</w:t>
                  </w:r>
                </w:p>
                <w:p w:rsidR="00460798" w:rsidRPr="00846AEA" w:rsidRDefault="00460798" w:rsidP="00303427">
                  <w:pPr>
                    <w:pStyle w:val="Title2"/>
                    <w:jc w:val="left"/>
                  </w:pPr>
                </w:p>
              </w:txbxContent>
            </v:textbox>
          </v:shape>
        </w:pict>
      </w:r>
      <w:r w:rsidR="003E65E9" w:rsidRPr="003E65E9">
        <w:rPr>
          <w:b/>
        </w:rPr>
        <w:t>A</w:t>
      </w:r>
      <w:r w:rsidR="005B6B79">
        <w:rPr>
          <w:b/>
        </w:rPr>
        <w:t>ppendix 'A'</w:t>
      </w:r>
    </w:p>
    <w:p w:rsidR="00460798" w:rsidRPr="00460798" w:rsidRDefault="00460798" w:rsidP="00460798"/>
    <w:p w:rsidR="00460798" w:rsidRPr="00460798" w:rsidRDefault="00460798" w:rsidP="00460798"/>
    <w:p w:rsidR="00460798" w:rsidRPr="00460798" w:rsidRDefault="00460798" w:rsidP="00460798"/>
    <w:p w:rsidR="00460798" w:rsidRPr="00460798" w:rsidRDefault="00F8424C" w:rsidP="00F8424C">
      <w:pPr>
        <w:tabs>
          <w:tab w:val="left" w:pos="6601"/>
        </w:tabs>
      </w:pPr>
      <w:r>
        <w:tab/>
      </w:r>
    </w:p>
    <w:p w:rsidR="00460798" w:rsidRPr="00460798" w:rsidRDefault="00460798" w:rsidP="00460798"/>
    <w:p w:rsidR="00460798" w:rsidRPr="00460798" w:rsidRDefault="00460798" w:rsidP="00460798"/>
    <w:p w:rsidR="00460798" w:rsidRPr="00460798" w:rsidRDefault="00460798" w:rsidP="00460798"/>
    <w:p w:rsidR="00460798" w:rsidRPr="00460798" w:rsidRDefault="00460798" w:rsidP="00460798"/>
    <w:p w:rsidR="00460798" w:rsidRPr="00460798" w:rsidRDefault="00460798" w:rsidP="00460798"/>
    <w:p w:rsidR="00460798" w:rsidRPr="00460798" w:rsidRDefault="00460798" w:rsidP="00460798"/>
    <w:p w:rsidR="00460798" w:rsidRPr="00460798" w:rsidRDefault="00460798" w:rsidP="00460798"/>
    <w:p w:rsidR="00460798" w:rsidRPr="00460798" w:rsidRDefault="00460798" w:rsidP="00460798"/>
    <w:p w:rsidR="00460798" w:rsidRPr="00460798" w:rsidRDefault="00460798" w:rsidP="00FA7EAA">
      <w:pPr>
        <w:jc w:val="center"/>
      </w:pPr>
    </w:p>
    <w:p w:rsidR="00460798" w:rsidRPr="00460798" w:rsidRDefault="00460798" w:rsidP="00460798"/>
    <w:p w:rsidR="00460798" w:rsidRPr="00460798" w:rsidRDefault="00460798" w:rsidP="00460798"/>
    <w:p w:rsidR="00460798" w:rsidRPr="00460798" w:rsidRDefault="00460798" w:rsidP="00460798"/>
    <w:p w:rsidR="00460798" w:rsidRDefault="00460798" w:rsidP="00460798"/>
    <w:p w:rsidR="00460798" w:rsidRPr="00460798" w:rsidRDefault="00460798" w:rsidP="00460798"/>
    <w:p w:rsidR="00460798" w:rsidRDefault="00460798" w:rsidP="00460798">
      <w:pPr>
        <w:tabs>
          <w:tab w:val="left" w:pos="8258"/>
        </w:tabs>
      </w:pPr>
      <w:r>
        <w:tab/>
      </w:r>
    </w:p>
    <w:p w:rsidR="00460798" w:rsidRDefault="00460798" w:rsidP="00460798"/>
    <w:p w:rsidR="00641054" w:rsidRPr="00460798" w:rsidRDefault="00641054" w:rsidP="00460798">
      <w:pPr>
        <w:sectPr w:rsidR="00641054" w:rsidRPr="00460798" w:rsidSect="00641054">
          <w:headerReference w:type="default" r:id="rId8"/>
          <w:headerReference w:type="first" r:id="rId9"/>
          <w:pgSz w:w="11900" w:h="16840" w:code="9"/>
          <w:pgMar w:top="720" w:right="720" w:bottom="720" w:left="720" w:header="709" w:footer="709" w:gutter="0"/>
          <w:cols w:space="292"/>
          <w:titlePg/>
          <w:docGrid w:linePitch="326"/>
        </w:sectPr>
      </w:pPr>
    </w:p>
    <w:p w:rsidR="0035118C" w:rsidRDefault="0035118C" w:rsidP="00BD6097">
      <w:pPr>
        <w:pStyle w:val="TOCHeader"/>
        <w:rPr>
          <w:sz w:val="40"/>
          <w:szCs w:val="40"/>
        </w:rPr>
        <w:sectPr w:rsidR="0035118C" w:rsidSect="00EC34EA">
          <w:pgSz w:w="11900" w:h="16840" w:code="9"/>
          <w:pgMar w:top="1440" w:right="1440" w:bottom="1440" w:left="1440" w:header="283" w:footer="283" w:gutter="0"/>
          <w:pgNumType w:start="1"/>
          <w:cols w:space="292"/>
          <w:docGrid w:linePitch="326"/>
        </w:sectPr>
      </w:pPr>
      <w:bookmarkStart w:id="1" w:name="_Toc304199307"/>
    </w:p>
    <w:p w:rsidR="006D7BB1" w:rsidRDefault="00BD6097" w:rsidP="00BD6097">
      <w:pPr>
        <w:pStyle w:val="TOCHeader"/>
        <w:rPr>
          <w:sz w:val="40"/>
          <w:szCs w:val="40"/>
        </w:rPr>
      </w:pPr>
      <w:r w:rsidRPr="00BD6097">
        <w:rPr>
          <w:sz w:val="40"/>
          <w:szCs w:val="40"/>
        </w:rPr>
        <w:lastRenderedPageBreak/>
        <w:t>Contents</w:t>
      </w:r>
    </w:p>
    <w:p w:rsidR="00A51A78" w:rsidRDefault="00A51A78" w:rsidP="00F07D42">
      <w:pPr>
        <w:pStyle w:val="Instructiontext"/>
        <w:sectPr w:rsidR="00A51A78" w:rsidSect="00EC34EA">
          <w:pgSz w:w="11900" w:h="16840" w:code="9"/>
          <w:pgMar w:top="1440" w:right="1440" w:bottom="1440" w:left="1440" w:header="283" w:footer="283" w:gutter="0"/>
          <w:pgNumType w:start="1"/>
          <w:cols w:space="292"/>
          <w:docGrid w:linePitch="326"/>
        </w:sectPr>
      </w:pPr>
    </w:p>
    <w:p w:rsidR="007468E3" w:rsidRPr="00A51A78" w:rsidRDefault="007468E3" w:rsidP="00F07D42">
      <w:pPr>
        <w:pStyle w:val="Instructiontext"/>
        <w:rPr>
          <w:color w:val="auto"/>
        </w:rPr>
      </w:pPr>
    </w:p>
    <w:p w:rsidR="00A51A78" w:rsidRPr="00A51A78" w:rsidRDefault="00A51A78" w:rsidP="00F07D42">
      <w:pPr>
        <w:pStyle w:val="Instructiontext"/>
        <w:rPr>
          <w:color w:val="auto"/>
        </w:rPr>
      </w:pPr>
    </w:p>
    <w:p w:rsidR="00A51A78" w:rsidRPr="00A51A78" w:rsidRDefault="00D371BE" w:rsidP="006E59B1">
      <w:pPr>
        <w:pStyle w:val="Instructiontext"/>
        <w:numPr>
          <w:ilvl w:val="0"/>
          <w:numId w:val="12"/>
        </w:numPr>
        <w:tabs>
          <w:tab w:val="left" w:pos="1134"/>
          <w:tab w:val="decimal" w:pos="8931"/>
        </w:tabs>
        <w:spacing w:before="240" w:after="240"/>
        <w:ind w:left="714" w:hanging="357"/>
        <w:rPr>
          <w:i w:val="0"/>
          <w:color w:val="auto"/>
          <w:sz w:val="24"/>
          <w:szCs w:val="24"/>
        </w:rPr>
      </w:pPr>
      <w:r>
        <w:rPr>
          <w:i w:val="0"/>
          <w:color w:val="auto"/>
          <w:sz w:val="24"/>
          <w:szCs w:val="24"/>
        </w:rPr>
        <w:t>Introduction</w:t>
      </w:r>
      <w:r>
        <w:rPr>
          <w:i w:val="0"/>
          <w:color w:val="auto"/>
          <w:sz w:val="24"/>
          <w:szCs w:val="24"/>
        </w:rPr>
        <w:tab/>
      </w:r>
      <w:r w:rsidR="00E76BC1">
        <w:rPr>
          <w:i w:val="0"/>
          <w:color w:val="auto"/>
          <w:sz w:val="24"/>
          <w:szCs w:val="24"/>
        </w:rPr>
        <w:t>3</w:t>
      </w:r>
    </w:p>
    <w:p w:rsidR="00A51A78" w:rsidRPr="00A51A78" w:rsidRDefault="00D371BE" w:rsidP="006E59B1">
      <w:pPr>
        <w:pStyle w:val="Instructiontext"/>
        <w:numPr>
          <w:ilvl w:val="0"/>
          <w:numId w:val="12"/>
        </w:numPr>
        <w:tabs>
          <w:tab w:val="left" w:pos="1134"/>
          <w:tab w:val="decimal" w:pos="8931"/>
        </w:tabs>
        <w:spacing w:before="240" w:after="240"/>
        <w:ind w:left="714" w:hanging="357"/>
        <w:rPr>
          <w:i w:val="0"/>
          <w:color w:val="auto"/>
          <w:sz w:val="24"/>
          <w:szCs w:val="24"/>
        </w:rPr>
      </w:pPr>
      <w:r>
        <w:rPr>
          <w:i w:val="0"/>
          <w:color w:val="auto"/>
          <w:sz w:val="24"/>
          <w:szCs w:val="24"/>
        </w:rPr>
        <w:t>Purpose of the FSS in policy terms</w:t>
      </w:r>
      <w:r>
        <w:rPr>
          <w:i w:val="0"/>
          <w:color w:val="auto"/>
          <w:sz w:val="24"/>
          <w:szCs w:val="24"/>
        </w:rPr>
        <w:tab/>
      </w:r>
      <w:r w:rsidR="00E76BC1">
        <w:rPr>
          <w:i w:val="0"/>
          <w:color w:val="auto"/>
          <w:sz w:val="24"/>
          <w:szCs w:val="24"/>
        </w:rPr>
        <w:t>5</w:t>
      </w:r>
    </w:p>
    <w:p w:rsidR="00A51A78" w:rsidRPr="00A51A78" w:rsidRDefault="00D371BE" w:rsidP="006E59B1">
      <w:pPr>
        <w:pStyle w:val="Instructiontext"/>
        <w:numPr>
          <w:ilvl w:val="0"/>
          <w:numId w:val="12"/>
        </w:numPr>
        <w:tabs>
          <w:tab w:val="left" w:pos="1134"/>
          <w:tab w:val="decimal" w:pos="8931"/>
        </w:tabs>
        <w:spacing w:before="240" w:after="240"/>
        <w:ind w:left="714" w:hanging="357"/>
        <w:rPr>
          <w:i w:val="0"/>
          <w:color w:val="auto"/>
          <w:sz w:val="24"/>
          <w:szCs w:val="24"/>
        </w:rPr>
      </w:pPr>
      <w:r>
        <w:rPr>
          <w:i w:val="0"/>
          <w:color w:val="auto"/>
          <w:sz w:val="24"/>
          <w:szCs w:val="24"/>
        </w:rPr>
        <w:t>Aims and Purpose of the Pension Fund</w:t>
      </w:r>
      <w:r>
        <w:rPr>
          <w:i w:val="0"/>
          <w:color w:val="auto"/>
          <w:sz w:val="24"/>
          <w:szCs w:val="24"/>
        </w:rPr>
        <w:tab/>
      </w:r>
      <w:r w:rsidR="00E76BC1">
        <w:rPr>
          <w:i w:val="0"/>
          <w:color w:val="auto"/>
          <w:sz w:val="24"/>
          <w:szCs w:val="24"/>
        </w:rPr>
        <w:t>5</w:t>
      </w:r>
    </w:p>
    <w:p w:rsidR="00A51A78" w:rsidRPr="00A51A78" w:rsidRDefault="00D371BE" w:rsidP="006E59B1">
      <w:pPr>
        <w:pStyle w:val="Instructiontext"/>
        <w:numPr>
          <w:ilvl w:val="0"/>
          <w:numId w:val="12"/>
        </w:numPr>
        <w:tabs>
          <w:tab w:val="left" w:pos="1134"/>
          <w:tab w:val="decimal" w:pos="8931"/>
        </w:tabs>
        <w:spacing w:before="240" w:after="240"/>
        <w:ind w:left="714" w:hanging="357"/>
        <w:rPr>
          <w:i w:val="0"/>
          <w:color w:val="auto"/>
          <w:sz w:val="24"/>
          <w:szCs w:val="24"/>
        </w:rPr>
      </w:pPr>
      <w:r>
        <w:rPr>
          <w:i w:val="0"/>
          <w:color w:val="auto"/>
          <w:sz w:val="24"/>
          <w:szCs w:val="24"/>
        </w:rPr>
        <w:t>Responsibilities of the main parties</w:t>
      </w:r>
      <w:r>
        <w:rPr>
          <w:i w:val="0"/>
          <w:color w:val="auto"/>
          <w:sz w:val="24"/>
          <w:szCs w:val="24"/>
        </w:rPr>
        <w:tab/>
      </w:r>
      <w:r w:rsidR="00E76BC1">
        <w:rPr>
          <w:i w:val="0"/>
          <w:color w:val="auto"/>
          <w:sz w:val="24"/>
          <w:szCs w:val="24"/>
        </w:rPr>
        <w:t>6</w:t>
      </w:r>
    </w:p>
    <w:p w:rsidR="00A51A78" w:rsidRPr="00A51A78" w:rsidRDefault="00D371BE" w:rsidP="006E59B1">
      <w:pPr>
        <w:pStyle w:val="Instructiontext"/>
        <w:numPr>
          <w:ilvl w:val="0"/>
          <w:numId w:val="12"/>
        </w:numPr>
        <w:tabs>
          <w:tab w:val="left" w:pos="1134"/>
          <w:tab w:val="decimal" w:pos="8931"/>
        </w:tabs>
        <w:spacing w:before="240" w:after="240"/>
        <w:ind w:left="714" w:hanging="357"/>
        <w:rPr>
          <w:i w:val="0"/>
          <w:color w:val="auto"/>
          <w:sz w:val="24"/>
          <w:szCs w:val="24"/>
        </w:rPr>
      </w:pPr>
      <w:r>
        <w:rPr>
          <w:i w:val="0"/>
          <w:color w:val="auto"/>
          <w:sz w:val="24"/>
          <w:szCs w:val="24"/>
        </w:rPr>
        <w:t>Solvency issues and target funding levels</w:t>
      </w:r>
      <w:r>
        <w:rPr>
          <w:i w:val="0"/>
          <w:color w:val="auto"/>
          <w:sz w:val="24"/>
          <w:szCs w:val="24"/>
        </w:rPr>
        <w:tab/>
      </w:r>
      <w:r w:rsidR="000248C6">
        <w:rPr>
          <w:i w:val="0"/>
          <w:color w:val="auto"/>
          <w:sz w:val="24"/>
          <w:szCs w:val="24"/>
        </w:rPr>
        <w:t>7</w:t>
      </w:r>
    </w:p>
    <w:p w:rsidR="00A51A78" w:rsidRPr="00A51A78" w:rsidRDefault="00D371BE" w:rsidP="006E59B1">
      <w:pPr>
        <w:pStyle w:val="Instructiontext"/>
        <w:numPr>
          <w:ilvl w:val="0"/>
          <w:numId w:val="12"/>
        </w:numPr>
        <w:tabs>
          <w:tab w:val="left" w:pos="1134"/>
          <w:tab w:val="decimal" w:pos="8931"/>
        </w:tabs>
        <w:spacing w:before="240" w:after="240"/>
        <w:ind w:left="714" w:hanging="357"/>
        <w:rPr>
          <w:i w:val="0"/>
          <w:color w:val="auto"/>
          <w:sz w:val="24"/>
          <w:szCs w:val="24"/>
        </w:rPr>
      </w:pPr>
      <w:r w:rsidRPr="00D371BE">
        <w:rPr>
          <w:i w:val="0"/>
          <w:color w:val="auto"/>
          <w:sz w:val="24"/>
          <w:szCs w:val="24"/>
        </w:rPr>
        <w:t>Link to investment policy set out in the Statement of Investment Principles</w:t>
      </w:r>
      <w:r w:rsidR="006E59B1">
        <w:rPr>
          <w:i w:val="0"/>
          <w:color w:val="auto"/>
          <w:sz w:val="24"/>
          <w:szCs w:val="24"/>
        </w:rPr>
        <w:tab/>
      </w:r>
      <w:r w:rsidR="000248C6">
        <w:rPr>
          <w:i w:val="0"/>
          <w:color w:val="auto"/>
          <w:sz w:val="24"/>
          <w:szCs w:val="24"/>
        </w:rPr>
        <w:t>11</w:t>
      </w:r>
    </w:p>
    <w:p w:rsidR="00A51A78" w:rsidRPr="00A51A78" w:rsidRDefault="006E59B1" w:rsidP="006E59B1">
      <w:pPr>
        <w:pStyle w:val="Instructiontext"/>
        <w:numPr>
          <w:ilvl w:val="0"/>
          <w:numId w:val="12"/>
        </w:numPr>
        <w:tabs>
          <w:tab w:val="left" w:pos="1134"/>
          <w:tab w:val="decimal" w:pos="8931"/>
        </w:tabs>
        <w:spacing w:before="240" w:after="240"/>
        <w:ind w:left="714" w:hanging="357"/>
        <w:rPr>
          <w:i w:val="0"/>
          <w:color w:val="auto"/>
          <w:sz w:val="24"/>
          <w:szCs w:val="24"/>
        </w:rPr>
      </w:pPr>
      <w:r w:rsidRPr="006E59B1">
        <w:rPr>
          <w:i w:val="0"/>
          <w:color w:val="auto"/>
          <w:sz w:val="24"/>
          <w:szCs w:val="24"/>
        </w:rPr>
        <w:t>Identification of risks and counter-measures</w:t>
      </w:r>
      <w:r>
        <w:rPr>
          <w:i w:val="0"/>
          <w:color w:val="auto"/>
          <w:sz w:val="24"/>
          <w:szCs w:val="24"/>
        </w:rPr>
        <w:tab/>
      </w:r>
      <w:r w:rsidR="000248C6">
        <w:rPr>
          <w:i w:val="0"/>
          <w:color w:val="auto"/>
          <w:sz w:val="24"/>
          <w:szCs w:val="24"/>
        </w:rPr>
        <w:t>14</w:t>
      </w:r>
    </w:p>
    <w:p w:rsidR="00A51A78" w:rsidRPr="006E59B1" w:rsidRDefault="00A51A78" w:rsidP="00F07D42">
      <w:pPr>
        <w:pStyle w:val="Instructiontext"/>
        <w:rPr>
          <w:color w:val="auto"/>
        </w:rPr>
      </w:pPr>
    </w:p>
    <w:p w:rsidR="006E59B1" w:rsidRPr="006E59B1" w:rsidRDefault="006E59B1" w:rsidP="00F07D42">
      <w:pPr>
        <w:pStyle w:val="Instructiontext"/>
        <w:rPr>
          <w:color w:val="auto"/>
        </w:rPr>
      </w:pPr>
    </w:p>
    <w:p w:rsidR="006E59B1" w:rsidRPr="006E59B1" w:rsidRDefault="006E59B1" w:rsidP="006E59B1">
      <w:pPr>
        <w:tabs>
          <w:tab w:val="decimal" w:pos="8931"/>
        </w:tabs>
        <w:spacing w:after="240"/>
        <w:jc w:val="left"/>
        <w:rPr>
          <w:rFonts w:ascii="TT1915Ao00" w:eastAsia="Cambria" w:hAnsi="TT1915Ao00" w:cs="TT1915Ao00"/>
          <w:color w:val="auto"/>
          <w:lang w:eastAsia="en-GB"/>
        </w:rPr>
      </w:pPr>
      <w:r w:rsidRPr="006E59B1">
        <w:rPr>
          <w:rFonts w:ascii="TT1915Ao00" w:eastAsia="Cambria" w:hAnsi="TT1915Ao00" w:cs="TT1915Ao00"/>
          <w:color w:val="auto"/>
          <w:lang w:eastAsia="en-GB"/>
        </w:rPr>
        <w:t>Annex 1 - Method and assumptions used in calculating the funding target</w:t>
      </w:r>
      <w:r w:rsidRPr="006E59B1">
        <w:rPr>
          <w:rFonts w:ascii="TT1915Ao00" w:eastAsia="Cambria" w:hAnsi="TT1915Ao00" w:cs="TT1915Ao00"/>
          <w:color w:val="auto"/>
          <w:lang w:eastAsia="en-GB"/>
        </w:rPr>
        <w:tab/>
      </w:r>
      <w:r w:rsidR="000248C6">
        <w:rPr>
          <w:rFonts w:ascii="TT1915Ao00" w:eastAsia="Cambria" w:hAnsi="TT1915Ao00" w:cs="TT1915Ao00"/>
          <w:color w:val="auto"/>
          <w:lang w:eastAsia="en-GB"/>
        </w:rPr>
        <w:t>16</w:t>
      </w:r>
    </w:p>
    <w:p w:rsidR="006E59B1" w:rsidRPr="006E59B1" w:rsidRDefault="006E59B1" w:rsidP="006E59B1">
      <w:pPr>
        <w:tabs>
          <w:tab w:val="decimal" w:pos="8931"/>
        </w:tabs>
        <w:spacing w:after="240"/>
        <w:jc w:val="left"/>
        <w:rPr>
          <w:rFonts w:ascii="TT1915Ao00" w:eastAsia="Cambria" w:hAnsi="TT1915Ao00" w:cs="TT1915Ao00"/>
          <w:color w:val="auto"/>
          <w:lang w:eastAsia="en-GB"/>
        </w:rPr>
      </w:pPr>
      <w:r w:rsidRPr="006E59B1">
        <w:rPr>
          <w:rFonts w:ascii="TT1915Ao00" w:eastAsia="Cambria" w:hAnsi="TT1915Ao00" w:cs="TT1915Ao00"/>
          <w:color w:val="auto"/>
          <w:lang w:eastAsia="en-GB"/>
        </w:rPr>
        <w:t>Annex 2 – SIP Investment Strategy</w:t>
      </w:r>
      <w:r w:rsidRPr="006E59B1">
        <w:rPr>
          <w:rFonts w:ascii="TT1915Ao00" w:eastAsia="Cambria" w:hAnsi="TT1915Ao00" w:cs="TT1915Ao00"/>
          <w:color w:val="auto"/>
          <w:lang w:eastAsia="en-GB"/>
        </w:rPr>
        <w:tab/>
      </w:r>
      <w:r w:rsidR="000248C6">
        <w:rPr>
          <w:rFonts w:ascii="TT1915Ao00" w:eastAsia="Cambria" w:hAnsi="TT1915Ao00" w:cs="TT1915Ao00"/>
          <w:color w:val="auto"/>
          <w:lang w:eastAsia="en-GB"/>
        </w:rPr>
        <w:t>22</w:t>
      </w:r>
    </w:p>
    <w:p w:rsidR="006E59B1" w:rsidRPr="006E59B1" w:rsidRDefault="006E59B1" w:rsidP="006E59B1">
      <w:pPr>
        <w:pStyle w:val="Instructiontext"/>
        <w:tabs>
          <w:tab w:val="decimal" w:pos="8931"/>
        </w:tabs>
        <w:rPr>
          <w:rFonts w:ascii="TT1915Ao00" w:eastAsia="Cambria" w:hAnsi="TT1915Ao00" w:cs="TT1915Ao00"/>
          <w:i w:val="0"/>
          <w:color w:val="auto"/>
          <w:sz w:val="24"/>
          <w:szCs w:val="24"/>
        </w:rPr>
      </w:pPr>
      <w:r w:rsidRPr="006E59B1">
        <w:rPr>
          <w:rFonts w:ascii="TT1915Ao00" w:eastAsia="Cambria" w:hAnsi="TT1915Ao00" w:cs="TT1915Ao00"/>
          <w:i w:val="0"/>
          <w:color w:val="auto"/>
          <w:sz w:val="24"/>
          <w:szCs w:val="24"/>
        </w:rPr>
        <w:t>Annex 3</w:t>
      </w:r>
      <w:r>
        <w:rPr>
          <w:rFonts w:ascii="TT1915Ao00" w:eastAsia="Cambria" w:hAnsi="TT1915Ao00" w:cs="TT1915Ao00"/>
          <w:i w:val="0"/>
          <w:color w:val="auto"/>
          <w:sz w:val="24"/>
          <w:szCs w:val="24"/>
        </w:rPr>
        <w:t xml:space="preserve"> – Key risks identified</w:t>
      </w:r>
      <w:r w:rsidRPr="006E59B1">
        <w:rPr>
          <w:rFonts w:ascii="TT1915Ao00" w:eastAsia="Cambria" w:hAnsi="TT1915Ao00" w:cs="TT1915Ao00"/>
          <w:i w:val="0"/>
          <w:color w:val="auto"/>
          <w:sz w:val="24"/>
          <w:szCs w:val="24"/>
        </w:rPr>
        <w:tab/>
      </w:r>
      <w:r w:rsidR="000248C6">
        <w:rPr>
          <w:rFonts w:ascii="TT1915Ao00" w:eastAsia="Cambria" w:hAnsi="TT1915Ao00" w:cs="TT1915Ao00"/>
          <w:i w:val="0"/>
          <w:color w:val="auto"/>
          <w:sz w:val="24"/>
          <w:szCs w:val="24"/>
        </w:rPr>
        <w:t>23</w:t>
      </w:r>
    </w:p>
    <w:p w:rsidR="006E59B1" w:rsidRPr="006E59B1" w:rsidRDefault="006E59B1" w:rsidP="00F07D42">
      <w:pPr>
        <w:pStyle w:val="Instructiontext"/>
        <w:rPr>
          <w:color w:val="auto"/>
        </w:rPr>
      </w:pPr>
    </w:p>
    <w:p w:rsidR="006D7BB1" w:rsidRPr="00BD6097" w:rsidRDefault="006D7BB1" w:rsidP="00DB368D"/>
    <w:p w:rsidR="006D7BB1" w:rsidRDefault="006D7BB1" w:rsidP="000E00B0">
      <w:pPr>
        <w:sectPr w:rsidR="006D7BB1" w:rsidSect="00A51A78">
          <w:type w:val="continuous"/>
          <w:pgSz w:w="11900" w:h="16840" w:code="9"/>
          <w:pgMar w:top="1440" w:right="1440" w:bottom="1440" w:left="1440" w:header="283" w:footer="283" w:gutter="0"/>
          <w:pgNumType w:start="1"/>
          <w:cols w:space="292"/>
          <w:docGrid w:linePitch="326"/>
        </w:sectPr>
      </w:pPr>
    </w:p>
    <w:bookmarkEnd w:id="1"/>
    <w:p w:rsidR="0035118C" w:rsidRDefault="0035118C" w:rsidP="00612C1F">
      <w:pPr>
        <w:spacing w:after="0"/>
        <w:jc w:val="left"/>
        <w:rPr>
          <w:rFonts w:ascii="TT1915Co00" w:eastAsia="Cambria" w:hAnsi="TT1915Co00" w:cs="TT1915Co00"/>
          <w:color w:val="auto"/>
          <w:sz w:val="32"/>
          <w:szCs w:val="32"/>
          <w:lang w:eastAsia="en-GB"/>
        </w:rPr>
        <w:sectPr w:rsidR="0035118C" w:rsidSect="00E84ECE">
          <w:headerReference w:type="default" r:id="rId10"/>
          <w:footerReference w:type="default" r:id="rId11"/>
          <w:pgSz w:w="11900" w:h="16840" w:code="9"/>
          <w:pgMar w:top="1440" w:right="1440" w:bottom="1134" w:left="1440" w:header="567" w:footer="567" w:gutter="0"/>
          <w:cols w:space="292"/>
          <w:docGrid w:linePitch="326"/>
        </w:sectPr>
      </w:pPr>
    </w:p>
    <w:p w:rsidR="00612C1F" w:rsidRDefault="00612C1F" w:rsidP="00612C1F">
      <w:pPr>
        <w:spacing w:after="0"/>
        <w:jc w:val="left"/>
        <w:rPr>
          <w:rFonts w:ascii="TT1915Co00" w:eastAsia="Cambria" w:hAnsi="TT1915Co00" w:cs="TT1915Co00"/>
          <w:color w:val="auto"/>
          <w:sz w:val="32"/>
          <w:szCs w:val="32"/>
          <w:lang w:eastAsia="en-GB"/>
        </w:rPr>
      </w:pPr>
      <w:r>
        <w:rPr>
          <w:rFonts w:ascii="TT1915Co00" w:eastAsia="Cambria" w:hAnsi="TT1915Co00" w:cs="TT1915Co00"/>
          <w:color w:val="auto"/>
          <w:sz w:val="32"/>
          <w:szCs w:val="32"/>
          <w:lang w:eastAsia="en-GB"/>
        </w:rPr>
        <w:lastRenderedPageBreak/>
        <w:t>Lancashire County Pension Fund</w:t>
      </w:r>
    </w:p>
    <w:p w:rsidR="00612C1F" w:rsidRDefault="00612C1F" w:rsidP="00612C1F">
      <w:pPr>
        <w:spacing w:after="0"/>
        <w:jc w:val="left"/>
        <w:rPr>
          <w:rFonts w:ascii="TT1915Co00" w:eastAsia="Cambria" w:hAnsi="TT1915Co00" w:cs="TT1915Co00"/>
          <w:color w:val="auto"/>
          <w:sz w:val="32"/>
          <w:szCs w:val="32"/>
          <w:lang w:eastAsia="en-GB"/>
        </w:rPr>
      </w:pPr>
    </w:p>
    <w:p w:rsidR="00612C1F" w:rsidRDefault="00612C1F" w:rsidP="00612C1F">
      <w:pPr>
        <w:spacing w:after="0"/>
        <w:jc w:val="left"/>
        <w:rPr>
          <w:rFonts w:ascii="TT1915Ao00" w:eastAsia="Cambria" w:hAnsi="TT1915Ao00" w:cs="TT1915Ao00"/>
          <w:color w:val="auto"/>
          <w:lang w:eastAsia="en-GB"/>
        </w:rPr>
      </w:pPr>
      <w:r>
        <w:rPr>
          <w:rFonts w:ascii="TT1915Co00" w:eastAsia="Cambria" w:hAnsi="TT1915Co00" w:cs="TT1915Co00"/>
          <w:color w:val="auto"/>
          <w:sz w:val="32"/>
          <w:szCs w:val="32"/>
          <w:lang w:eastAsia="en-GB"/>
        </w:rPr>
        <w:t>Funding Strategy Statement (FSS</w:t>
      </w:r>
      <w:r>
        <w:rPr>
          <w:rFonts w:ascii="TT1915Ao00" w:eastAsia="Cambria" w:hAnsi="TT1915Ao00" w:cs="TT1915Ao00"/>
          <w:color w:val="auto"/>
          <w:lang w:eastAsia="en-GB"/>
        </w:rPr>
        <w:t>)</w:t>
      </w:r>
    </w:p>
    <w:p w:rsidR="00612C1F" w:rsidRDefault="00612C1F" w:rsidP="00612C1F">
      <w:pPr>
        <w:spacing w:after="0"/>
        <w:jc w:val="left"/>
        <w:rPr>
          <w:rFonts w:ascii="TT1915Do00" w:eastAsia="Cambria" w:hAnsi="TT1915Do00" w:cs="TT1915Do00"/>
          <w:color w:val="auto"/>
          <w:lang w:eastAsia="en-GB"/>
        </w:rPr>
      </w:pPr>
    </w:p>
    <w:p w:rsidR="00612C1F" w:rsidRDefault="00612C1F" w:rsidP="00612C1F">
      <w:pPr>
        <w:spacing w:after="0"/>
        <w:jc w:val="left"/>
        <w:rPr>
          <w:rFonts w:ascii="TT1915Do00" w:eastAsia="Cambria" w:hAnsi="TT1915Do00" w:cs="TT1915Do00"/>
          <w:color w:val="auto"/>
          <w:lang w:eastAsia="en-GB"/>
        </w:rPr>
      </w:pPr>
      <w:r>
        <w:rPr>
          <w:rFonts w:ascii="TT1915Do00" w:eastAsia="Cambria" w:hAnsi="TT1915Do00" w:cs="TT1915Do00"/>
          <w:color w:val="auto"/>
          <w:lang w:eastAsia="en-GB"/>
        </w:rPr>
        <w:t>This Statement has been prepared by Lancashire County Council (as Administering</w:t>
      </w:r>
    </w:p>
    <w:p w:rsidR="00612C1F" w:rsidRDefault="00612C1F" w:rsidP="00612C1F">
      <w:pPr>
        <w:spacing w:after="0"/>
        <w:jc w:val="left"/>
        <w:rPr>
          <w:rFonts w:ascii="TT1915Do00" w:eastAsia="Cambria" w:hAnsi="TT1915Do00" w:cs="TT1915Do00"/>
          <w:color w:val="auto"/>
          <w:lang w:eastAsia="en-GB"/>
        </w:rPr>
      </w:pPr>
      <w:r>
        <w:rPr>
          <w:rFonts w:ascii="TT1915Do00" w:eastAsia="Cambria" w:hAnsi="TT1915Do00" w:cs="TT1915Do00"/>
          <w:color w:val="auto"/>
          <w:lang w:eastAsia="en-GB"/>
        </w:rPr>
        <w:t xml:space="preserve">Authority) to set out the funding strategy for the Lancashire County Pension Fund (the </w:t>
      </w:r>
      <w:r w:rsidR="00D83060">
        <w:rPr>
          <w:rFonts w:ascii="TT1915Do00" w:eastAsia="Cambria" w:hAnsi="TT1915Do00" w:cs="TT1915Do00"/>
          <w:color w:val="auto"/>
          <w:lang w:eastAsia="en-GB"/>
        </w:rPr>
        <w:t>Fund</w:t>
      </w:r>
      <w:r>
        <w:rPr>
          <w:rFonts w:ascii="TT1915Do00" w:eastAsia="Cambria" w:hAnsi="TT1915Do00" w:cs="TT1915Do00"/>
          <w:color w:val="auto"/>
          <w:lang w:eastAsia="en-GB"/>
        </w:rPr>
        <w:t>), in accordance with the Local Government Pension Scheme Regulations and the guidance paper issued in March 20</w:t>
      </w:r>
      <w:r w:rsidR="0088225E">
        <w:rPr>
          <w:rFonts w:ascii="TT1915Do00" w:eastAsia="Cambria" w:hAnsi="TT1915Do00" w:cs="TT1915Do00"/>
          <w:color w:val="auto"/>
          <w:lang w:eastAsia="en-GB"/>
        </w:rPr>
        <w:t>12</w:t>
      </w:r>
      <w:r>
        <w:rPr>
          <w:rFonts w:ascii="TT1915Do00" w:eastAsia="Cambria" w:hAnsi="TT1915Do00" w:cs="TT1915Do00"/>
          <w:color w:val="auto"/>
          <w:lang w:eastAsia="en-GB"/>
        </w:rPr>
        <w:t xml:space="preserve"> by the Chartered Institute of Public Finance and Accountancy (CIPFA) Pensions Panel.</w:t>
      </w:r>
    </w:p>
    <w:p w:rsidR="00612C1F" w:rsidRDefault="00612C1F" w:rsidP="00612C1F">
      <w:pPr>
        <w:spacing w:after="0"/>
        <w:jc w:val="left"/>
        <w:rPr>
          <w:rFonts w:ascii="TT1915Do00" w:eastAsia="Cambria" w:hAnsi="TT1915Do00" w:cs="TT1915Do00"/>
          <w:color w:val="auto"/>
          <w:lang w:eastAsia="en-GB"/>
        </w:rPr>
      </w:pPr>
    </w:p>
    <w:p w:rsidR="00612C1F" w:rsidRPr="00EE5CB8" w:rsidRDefault="00612C1F" w:rsidP="00612C1F">
      <w:pPr>
        <w:spacing w:after="0"/>
        <w:jc w:val="left"/>
        <w:rPr>
          <w:rFonts w:ascii="TT1915Do00" w:eastAsia="Cambria" w:hAnsi="TT1915Do00" w:cs="TT1915Do00"/>
          <w:b/>
          <w:color w:val="auto"/>
          <w:lang w:eastAsia="en-GB"/>
        </w:rPr>
      </w:pPr>
      <w:r w:rsidRPr="00EE5CB8">
        <w:rPr>
          <w:rFonts w:ascii="TT1915Do00" w:eastAsia="Cambria" w:hAnsi="TT1915Do00" w:cs="TT1915Do00"/>
          <w:b/>
          <w:color w:val="auto"/>
          <w:lang w:eastAsia="en-GB"/>
        </w:rPr>
        <w:t>1. Introduction</w:t>
      </w:r>
    </w:p>
    <w:p w:rsidR="00612C1F" w:rsidRDefault="00612C1F" w:rsidP="00612C1F">
      <w:pPr>
        <w:spacing w:after="0"/>
        <w:jc w:val="left"/>
        <w:rPr>
          <w:rFonts w:ascii="TT1915Do00" w:eastAsia="Cambria" w:hAnsi="TT1915Do00" w:cs="TT1915Do00"/>
          <w:color w:val="auto"/>
          <w:lang w:eastAsia="en-GB"/>
        </w:rPr>
      </w:pPr>
    </w:p>
    <w:p w:rsidR="00612C1F" w:rsidRDefault="00612C1F" w:rsidP="00612C1F">
      <w:pPr>
        <w:spacing w:after="0"/>
        <w:jc w:val="left"/>
        <w:rPr>
          <w:rFonts w:ascii="TT1915Do00" w:eastAsia="Cambria" w:hAnsi="TT1915Do00" w:cs="TT1915Do00"/>
          <w:color w:val="auto"/>
          <w:lang w:eastAsia="en-GB"/>
        </w:rPr>
      </w:pPr>
      <w:r>
        <w:rPr>
          <w:rFonts w:ascii="TT1915Do00" w:eastAsia="Cambria" w:hAnsi="TT1915Do00" w:cs="TT1915Do00"/>
          <w:color w:val="auto"/>
          <w:lang w:eastAsia="en-GB"/>
        </w:rPr>
        <w:t xml:space="preserve">The Local Government Pension Scheme </w:t>
      </w:r>
      <w:r w:rsidR="00D83060">
        <w:rPr>
          <w:rFonts w:ascii="TT1915Do00" w:eastAsia="Cambria" w:hAnsi="TT1915Do00" w:cs="TT1915Do00"/>
          <w:color w:val="auto"/>
          <w:lang w:eastAsia="en-GB"/>
        </w:rPr>
        <w:t xml:space="preserve">(LGPS) </w:t>
      </w:r>
      <w:r>
        <w:rPr>
          <w:rFonts w:ascii="TT1915Do00" w:eastAsia="Cambria" w:hAnsi="TT1915Do00" w:cs="TT1915Do00"/>
          <w:color w:val="auto"/>
          <w:lang w:eastAsia="en-GB"/>
        </w:rPr>
        <w:t xml:space="preserve">Regulations provide the statutory framework </w:t>
      </w:r>
      <w:r w:rsidR="000D4873">
        <w:rPr>
          <w:rFonts w:ascii="TT1915Do00" w:eastAsia="Cambria" w:hAnsi="TT1915Do00" w:cs="TT1915Do00"/>
          <w:color w:val="auto"/>
          <w:lang w:eastAsia="en-GB"/>
        </w:rPr>
        <w:t xml:space="preserve">within </w:t>
      </w:r>
      <w:r>
        <w:rPr>
          <w:rFonts w:ascii="TT1915Do00" w:eastAsia="Cambria" w:hAnsi="TT1915Do00" w:cs="TT1915Do00"/>
          <w:color w:val="auto"/>
          <w:lang w:eastAsia="en-GB"/>
        </w:rPr>
        <w:t>which the Administering Authority is required to prepare a Funding Strategy Statement. The key requirements for preparing the FSS can be</w:t>
      </w:r>
      <w:r w:rsidR="00EE5CB8">
        <w:rPr>
          <w:rFonts w:ascii="TT1915Do00" w:eastAsia="Cambria" w:hAnsi="TT1915Do00" w:cs="TT1915Do00"/>
          <w:color w:val="auto"/>
          <w:lang w:eastAsia="en-GB"/>
        </w:rPr>
        <w:t xml:space="preserve"> </w:t>
      </w:r>
      <w:r>
        <w:rPr>
          <w:rFonts w:ascii="TT1915Do00" w:eastAsia="Cambria" w:hAnsi="TT1915Do00" w:cs="TT1915Do00"/>
          <w:color w:val="auto"/>
          <w:lang w:eastAsia="en-GB"/>
        </w:rPr>
        <w:t>summarised as follows:</w:t>
      </w:r>
    </w:p>
    <w:p w:rsidR="00612C1F" w:rsidRDefault="00612C1F" w:rsidP="00612C1F">
      <w:pPr>
        <w:spacing w:after="0"/>
        <w:jc w:val="left"/>
        <w:rPr>
          <w:rFonts w:ascii="TT1915Do00" w:eastAsia="Cambria" w:hAnsi="TT1915Do00" w:cs="TT1915Do00"/>
          <w:color w:val="auto"/>
          <w:lang w:eastAsia="en-GB"/>
        </w:rPr>
      </w:pPr>
    </w:p>
    <w:p w:rsidR="00612C1F" w:rsidRDefault="00612C1F" w:rsidP="00DA5325">
      <w:pPr>
        <w:ind w:left="851" w:hanging="284"/>
        <w:jc w:val="left"/>
        <w:rPr>
          <w:rFonts w:ascii="TT1915Do00" w:eastAsia="Cambria" w:hAnsi="TT1915Do00" w:cs="TT1915Do00"/>
          <w:color w:val="auto"/>
          <w:lang w:eastAsia="en-GB"/>
        </w:rPr>
      </w:pPr>
      <w:r>
        <w:rPr>
          <w:rFonts w:ascii="TT1915Eo00" w:eastAsia="Cambria" w:hAnsi="TT1915Eo00" w:cs="TT1915Eo00"/>
          <w:color w:val="auto"/>
          <w:lang w:eastAsia="en-GB"/>
        </w:rPr>
        <w:t>•</w:t>
      </w:r>
      <w:r>
        <w:rPr>
          <w:rFonts w:ascii="TT1915Eo00" w:eastAsia="Cambria" w:hAnsi="TT1915Eo00" w:cs="TT1915Eo00"/>
          <w:color w:val="auto"/>
          <w:lang w:eastAsia="en-GB"/>
        </w:rPr>
        <w:tab/>
      </w:r>
      <w:r>
        <w:rPr>
          <w:rFonts w:ascii="TT1915Do00" w:eastAsia="Cambria" w:hAnsi="TT1915Do00" w:cs="TT1915Do00"/>
          <w:color w:val="auto"/>
          <w:lang w:eastAsia="en-GB"/>
        </w:rPr>
        <w:t xml:space="preserve">After consultation with all relevant interested parties involved with the </w:t>
      </w:r>
      <w:r w:rsidR="0088225E">
        <w:rPr>
          <w:rFonts w:ascii="TT1915Do00" w:eastAsia="Cambria" w:hAnsi="TT1915Do00" w:cs="TT1915Do00"/>
          <w:color w:val="auto"/>
          <w:lang w:eastAsia="en-GB"/>
        </w:rPr>
        <w:t>fund</w:t>
      </w:r>
      <w:r>
        <w:rPr>
          <w:rFonts w:ascii="TT1915Do00" w:eastAsia="Cambria" w:hAnsi="TT1915Do00" w:cs="TT1915Do00"/>
          <w:color w:val="auto"/>
          <w:lang w:eastAsia="en-GB"/>
        </w:rPr>
        <w:t xml:space="preserve"> the </w:t>
      </w:r>
      <w:r w:rsidR="003B06EC">
        <w:rPr>
          <w:rFonts w:ascii="TT1915Do00" w:eastAsia="Cambria" w:hAnsi="TT1915Do00" w:cs="TT1915Do00"/>
          <w:color w:val="auto"/>
          <w:lang w:eastAsia="en-GB"/>
        </w:rPr>
        <w:t>a</w:t>
      </w:r>
      <w:r>
        <w:rPr>
          <w:rFonts w:ascii="TT1915Do00" w:eastAsia="Cambria" w:hAnsi="TT1915Do00" w:cs="TT1915Do00"/>
          <w:color w:val="auto"/>
          <w:lang w:eastAsia="en-GB"/>
        </w:rPr>
        <w:t xml:space="preserve">dministering </w:t>
      </w:r>
      <w:r w:rsidR="003B06EC">
        <w:rPr>
          <w:rFonts w:ascii="TT1915Do00" w:eastAsia="Cambria" w:hAnsi="TT1915Do00" w:cs="TT1915Do00"/>
          <w:color w:val="auto"/>
          <w:lang w:eastAsia="en-GB"/>
        </w:rPr>
        <w:t>a</w:t>
      </w:r>
      <w:r>
        <w:rPr>
          <w:rFonts w:ascii="TT1915Do00" w:eastAsia="Cambria" w:hAnsi="TT1915Do00" w:cs="TT1915Do00"/>
          <w:color w:val="auto"/>
          <w:lang w:eastAsia="en-GB"/>
        </w:rPr>
        <w:t xml:space="preserve">uthority will prepare and publish </w:t>
      </w:r>
      <w:r w:rsidR="0088225E">
        <w:rPr>
          <w:rFonts w:ascii="TT1915Do00" w:eastAsia="Cambria" w:hAnsi="TT1915Do00" w:cs="TT1915Do00"/>
          <w:color w:val="auto"/>
          <w:lang w:eastAsia="en-GB"/>
        </w:rPr>
        <w:t>its</w:t>
      </w:r>
      <w:r>
        <w:rPr>
          <w:rFonts w:ascii="TT1915Do00" w:eastAsia="Cambria" w:hAnsi="TT1915Do00" w:cs="TT1915Do00"/>
          <w:color w:val="auto"/>
          <w:lang w:eastAsia="en-GB"/>
        </w:rPr>
        <w:t xml:space="preserve"> funding strategy;</w:t>
      </w:r>
    </w:p>
    <w:p w:rsidR="00612C1F" w:rsidRPr="00612C1F" w:rsidRDefault="00612C1F" w:rsidP="00DA5325">
      <w:pPr>
        <w:pStyle w:val="ListParagraph"/>
        <w:numPr>
          <w:ilvl w:val="0"/>
          <w:numId w:val="14"/>
        </w:numPr>
        <w:contextualSpacing w:val="0"/>
        <w:jc w:val="left"/>
        <w:rPr>
          <w:rFonts w:ascii="TT1915Do00" w:eastAsia="Cambria" w:hAnsi="TT1915Do00" w:cs="TT1915Do00"/>
          <w:color w:val="auto"/>
          <w:lang w:eastAsia="en-GB"/>
        </w:rPr>
      </w:pPr>
      <w:r w:rsidRPr="00612C1F">
        <w:rPr>
          <w:rFonts w:ascii="TT1915Do00" w:eastAsia="Cambria" w:hAnsi="TT1915Do00" w:cs="TT1915Do00"/>
          <w:color w:val="auto"/>
          <w:lang w:eastAsia="en-GB"/>
        </w:rPr>
        <w:t>In preparing the FSS, the Administering Authority must have regard to:-</w:t>
      </w:r>
    </w:p>
    <w:p w:rsidR="00612C1F" w:rsidRPr="00EE5CB8" w:rsidRDefault="00612C1F" w:rsidP="00DA5325">
      <w:pPr>
        <w:pStyle w:val="ListParagraph"/>
        <w:numPr>
          <w:ilvl w:val="0"/>
          <w:numId w:val="16"/>
        </w:numPr>
        <w:contextualSpacing w:val="0"/>
        <w:jc w:val="left"/>
        <w:rPr>
          <w:rFonts w:ascii="TT1915Do00" w:eastAsia="Cambria" w:hAnsi="TT1915Do00" w:cs="TT1915Do00"/>
          <w:color w:val="auto"/>
          <w:lang w:eastAsia="en-GB"/>
        </w:rPr>
      </w:pPr>
      <w:r w:rsidRPr="00EE5CB8">
        <w:rPr>
          <w:rFonts w:ascii="TT1915Do00" w:eastAsia="Cambria" w:hAnsi="TT1915Do00" w:cs="TT1915Do00"/>
          <w:color w:val="auto"/>
          <w:lang w:eastAsia="en-GB"/>
        </w:rPr>
        <w:t>the guidance issued by CIPFA for this purpose; and</w:t>
      </w:r>
    </w:p>
    <w:p w:rsidR="00612C1F" w:rsidRDefault="00612C1F" w:rsidP="00DA5325">
      <w:pPr>
        <w:pStyle w:val="ListParagraph"/>
        <w:numPr>
          <w:ilvl w:val="0"/>
          <w:numId w:val="16"/>
        </w:numPr>
        <w:contextualSpacing w:val="0"/>
        <w:jc w:val="left"/>
        <w:rPr>
          <w:rFonts w:ascii="TT1915Do00" w:eastAsia="Cambria" w:hAnsi="TT1915Do00" w:cs="TT1915Do00"/>
          <w:color w:val="auto"/>
          <w:lang w:eastAsia="en-GB"/>
        </w:rPr>
      </w:pPr>
      <w:r>
        <w:rPr>
          <w:rFonts w:ascii="TT1915Do00" w:eastAsia="Cambria" w:hAnsi="TT1915Do00" w:cs="TT1915Do00"/>
          <w:color w:val="auto"/>
          <w:lang w:eastAsia="en-GB"/>
        </w:rPr>
        <w:t>the Statement of Investment Principles (SIP) for the Scheme published under Regulation 12 of the Local Government Pension Scheme (Management and Investment of Funds) Regulations 2009 (as amended);</w:t>
      </w:r>
    </w:p>
    <w:p w:rsidR="00612C1F" w:rsidRDefault="00612C1F" w:rsidP="00DA5325">
      <w:pPr>
        <w:ind w:left="851" w:hanging="284"/>
        <w:jc w:val="left"/>
        <w:rPr>
          <w:rFonts w:ascii="TT1915Do00" w:eastAsia="Cambria" w:hAnsi="TT1915Do00" w:cs="TT1915Do00"/>
          <w:color w:val="auto"/>
          <w:lang w:eastAsia="en-GB"/>
        </w:rPr>
      </w:pPr>
      <w:r>
        <w:rPr>
          <w:rFonts w:ascii="TT1915Eo00" w:eastAsia="Cambria" w:hAnsi="TT1915Eo00" w:cs="TT1915Eo00"/>
          <w:color w:val="auto"/>
          <w:lang w:eastAsia="en-GB"/>
        </w:rPr>
        <w:t xml:space="preserve">• </w:t>
      </w:r>
      <w:r>
        <w:rPr>
          <w:rFonts w:ascii="TT1915Eo00" w:eastAsia="Cambria" w:hAnsi="TT1915Eo00" w:cs="TT1915Eo00"/>
          <w:color w:val="auto"/>
          <w:lang w:eastAsia="en-GB"/>
        </w:rPr>
        <w:tab/>
      </w:r>
      <w:r>
        <w:rPr>
          <w:rFonts w:ascii="TT1915Do00" w:eastAsia="Cambria" w:hAnsi="TT1915Do00" w:cs="TT1915Do00"/>
          <w:color w:val="auto"/>
          <w:lang w:eastAsia="en-GB"/>
        </w:rPr>
        <w:t>The FSS must be revised and published whenever there is a material change in either the policy on the matters set out in the FSS or the Statement of Investment Principles.</w:t>
      </w:r>
    </w:p>
    <w:p w:rsidR="0088225E" w:rsidRDefault="0088225E" w:rsidP="00DA5325">
      <w:pPr>
        <w:pStyle w:val="ListParagraph"/>
        <w:numPr>
          <w:ilvl w:val="0"/>
          <w:numId w:val="14"/>
        </w:numPr>
        <w:contextualSpacing w:val="0"/>
        <w:jc w:val="left"/>
        <w:rPr>
          <w:rFonts w:ascii="TT1915Do00" w:eastAsia="Cambria" w:hAnsi="TT1915Do00" w:cs="TT1915Do00"/>
          <w:color w:val="auto"/>
          <w:lang w:eastAsia="en-GB"/>
        </w:rPr>
      </w:pPr>
      <w:r>
        <w:rPr>
          <w:rFonts w:ascii="TT1915Do00" w:eastAsia="Cambria" w:hAnsi="TT1915Do00" w:cs="TT1915Do00"/>
          <w:color w:val="auto"/>
          <w:lang w:eastAsia="en-GB"/>
        </w:rPr>
        <w:t>The FSS should be complete and approved by the Pensions Committee (or equivalent) prior to the completion of each valuation.</w:t>
      </w:r>
    </w:p>
    <w:p w:rsidR="0088225E" w:rsidRDefault="0088225E" w:rsidP="00DA5325">
      <w:pPr>
        <w:pStyle w:val="ListParagraph"/>
        <w:numPr>
          <w:ilvl w:val="0"/>
          <w:numId w:val="14"/>
        </w:numPr>
        <w:contextualSpacing w:val="0"/>
        <w:jc w:val="left"/>
        <w:rPr>
          <w:rFonts w:ascii="TT1915Do00" w:eastAsia="Cambria" w:hAnsi="TT1915Do00" w:cs="TT1915Do00"/>
          <w:color w:val="auto"/>
          <w:lang w:eastAsia="en-GB"/>
        </w:rPr>
      </w:pPr>
      <w:r>
        <w:rPr>
          <w:rFonts w:ascii="TT1915Do00" w:eastAsia="Cambria" w:hAnsi="TT1915Do00" w:cs="TT1915Do00"/>
          <w:color w:val="auto"/>
          <w:lang w:eastAsia="en-GB"/>
        </w:rPr>
        <w:t>The fund actuary must have regard to the FSS as part of the fund valuation process.</w:t>
      </w:r>
    </w:p>
    <w:p w:rsidR="002460DA" w:rsidRDefault="002460DA" w:rsidP="002460DA">
      <w:pPr>
        <w:spacing w:after="0"/>
        <w:jc w:val="left"/>
        <w:rPr>
          <w:rFonts w:ascii="TT1915Do00" w:eastAsia="Cambria" w:hAnsi="TT1915Do00" w:cs="TT1915Do00"/>
          <w:color w:val="auto"/>
          <w:lang w:eastAsia="en-GB"/>
        </w:rPr>
      </w:pPr>
      <w:r>
        <w:rPr>
          <w:rFonts w:ascii="TT1915Do00" w:eastAsia="Cambria" w:hAnsi="TT1915Do00" w:cs="TT1915Do00"/>
          <w:color w:val="auto"/>
          <w:lang w:eastAsia="en-GB"/>
        </w:rPr>
        <w:t>The statements relate as follows:</w:t>
      </w:r>
    </w:p>
    <w:p w:rsidR="002460DA" w:rsidRPr="002460DA" w:rsidRDefault="002460DA" w:rsidP="002460DA">
      <w:pPr>
        <w:spacing w:after="0"/>
        <w:jc w:val="left"/>
        <w:rPr>
          <w:rFonts w:ascii="TT1915Do00" w:eastAsia="Cambria" w:hAnsi="TT1915Do00" w:cs="TT1915Do00"/>
          <w:color w:val="auto"/>
          <w:lang w:eastAsia="en-GB"/>
        </w:rPr>
      </w:pPr>
    </w:p>
    <w:p w:rsidR="0088225E" w:rsidRDefault="002460DA" w:rsidP="002460DA">
      <w:pPr>
        <w:spacing w:after="0"/>
        <w:ind w:firstLine="709"/>
        <w:jc w:val="left"/>
        <w:rPr>
          <w:rFonts w:ascii="TT1915Do00" w:eastAsia="Cambria" w:hAnsi="TT1915Do00" w:cs="TT1915Do00"/>
          <w:color w:val="auto"/>
          <w:lang w:eastAsia="en-GB"/>
        </w:rPr>
      </w:pPr>
      <w:r w:rsidRPr="002460DA">
        <w:rPr>
          <w:rFonts w:ascii="TT1915Do00" w:eastAsia="Cambria" w:hAnsi="TT1915Do00" w:cs="TT1915Do00"/>
          <w:noProof/>
          <w:color w:val="auto"/>
          <w:lang w:eastAsia="en-GB"/>
        </w:rPr>
        <w:drawing>
          <wp:inline distT="0" distB="0" distL="0" distR="0">
            <wp:extent cx="4125686" cy="2316298"/>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12C1F" w:rsidRPr="00D83060" w:rsidRDefault="00612C1F" w:rsidP="00612C1F">
      <w:pPr>
        <w:spacing w:after="0"/>
        <w:jc w:val="left"/>
        <w:rPr>
          <w:rFonts w:ascii="TT1915Do00" w:eastAsia="Cambria" w:hAnsi="TT1915Do00" w:cs="TT1915Do00"/>
          <w:color w:val="auto"/>
          <w:lang w:eastAsia="en-GB"/>
        </w:rPr>
      </w:pPr>
      <w:r w:rsidRPr="00D83060">
        <w:rPr>
          <w:rFonts w:ascii="TT1915Do00" w:eastAsia="Cambria" w:hAnsi="TT1915Do00" w:cs="TT1915Do00"/>
          <w:color w:val="auto"/>
          <w:lang w:eastAsia="en-GB"/>
        </w:rPr>
        <w:lastRenderedPageBreak/>
        <w:t>Benefits payable under the Scheme are guaranteed by statute and there</w:t>
      </w:r>
      <w:r w:rsidR="000D4873">
        <w:rPr>
          <w:rFonts w:ascii="TT1915Do00" w:eastAsia="Cambria" w:hAnsi="TT1915Do00" w:cs="TT1915Do00"/>
          <w:color w:val="auto"/>
          <w:lang w:eastAsia="en-GB"/>
        </w:rPr>
        <w:t>fore</w:t>
      </w:r>
      <w:r w:rsidRPr="00D83060">
        <w:rPr>
          <w:rFonts w:ascii="TT1915Do00" w:eastAsia="Cambria" w:hAnsi="TT1915Do00" w:cs="TT1915Do00"/>
          <w:color w:val="auto"/>
          <w:lang w:eastAsia="en-GB"/>
        </w:rPr>
        <w:t xml:space="preserve"> the</w:t>
      </w:r>
      <w:r w:rsidR="00DD34F1" w:rsidRPr="00D83060">
        <w:rPr>
          <w:rFonts w:ascii="TT1915Do00" w:eastAsia="Cambria" w:hAnsi="TT1915Do00" w:cs="TT1915Do00"/>
          <w:color w:val="auto"/>
          <w:lang w:eastAsia="en-GB"/>
        </w:rPr>
        <w:t xml:space="preserve"> </w:t>
      </w:r>
      <w:r w:rsidRPr="00D83060">
        <w:rPr>
          <w:rFonts w:ascii="TT1915Do00" w:eastAsia="Cambria" w:hAnsi="TT1915Do00" w:cs="TT1915Do00"/>
          <w:color w:val="auto"/>
          <w:lang w:eastAsia="en-GB"/>
        </w:rPr>
        <w:t>pensions promise is secure. The FSS addresses the issue of managing the need</w:t>
      </w:r>
      <w:r w:rsidR="00DD34F1" w:rsidRPr="00D83060">
        <w:rPr>
          <w:rFonts w:ascii="TT1915Do00" w:eastAsia="Cambria" w:hAnsi="TT1915Do00" w:cs="TT1915Do00"/>
          <w:color w:val="auto"/>
          <w:lang w:eastAsia="en-GB"/>
        </w:rPr>
        <w:t xml:space="preserve"> </w:t>
      </w:r>
      <w:r w:rsidRPr="00D83060">
        <w:rPr>
          <w:rFonts w:ascii="TT1915Do00" w:eastAsia="Cambria" w:hAnsi="TT1915Do00" w:cs="TT1915Do00"/>
          <w:color w:val="auto"/>
          <w:lang w:eastAsia="en-GB"/>
        </w:rPr>
        <w:t>to fund those benefits over the long term, whilst at the same time, facilitating</w:t>
      </w:r>
      <w:r w:rsidR="00DD34F1" w:rsidRPr="00D83060">
        <w:rPr>
          <w:rFonts w:ascii="TT1915Do00" w:eastAsia="Cambria" w:hAnsi="TT1915Do00" w:cs="TT1915Do00"/>
          <w:color w:val="auto"/>
          <w:lang w:eastAsia="en-GB"/>
        </w:rPr>
        <w:t xml:space="preserve"> </w:t>
      </w:r>
      <w:r w:rsidRPr="00D83060">
        <w:rPr>
          <w:rFonts w:ascii="TT1915Do00" w:eastAsia="Cambria" w:hAnsi="TT1915Do00" w:cs="TT1915Do00"/>
          <w:color w:val="auto"/>
          <w:lang w:eastAsia="en-GB"/>
        </w:rPr>
        <w:t>scrutiny and accountability through improved transparency and disclosure.</w:t>
      </w:r>
    </w:p>
    <w:p w:rsidR="00DD34F1" w:rsidRPr="001B57DD" w:rsidRDefault="00DD34F1" w:rsidP="00612C1F">
      <w:pPr>
        <w:spacing w:after="0"/>
        <w:jc w:val="left"/>
        <w:rPr>
          <w:rFonts w:ascii="TT1915Do00" w:eastAsia="Cambria" w:hAnsi="TT1915Do00" w:cs="TT1915Do00"/>
          <w:color w:val="auto"/>
          <w:lang w:eastAsia="en-GB"/>
        </w:rPr>
      </w:pPr>
    </w:p>
    <w:p w:rsidR="00E654DA" w:rsidRPr="001B57DD" w:rsidRDefault="00E654DA" w:rsidP="00E654DA">
      <w:pPr>
        <w:spacing w:after="0"/>
        <w:jc w:val="left"/>
        <w:rPr>
          <w:rFonts w:ascii="TT1915Do00" w:eastAsia="Cambria" w:hAnsi="TT1915Do00" w:cs="TT1915Do00"/>
          <w:color w:val="auto"/>
          <w:lang w:eastAsia="en-GB"/>
        </w:rPr>
      </w:pPr>
      <w:r w:rsidRPr="001B57DD">
        <w:rPr>
          <w:rFonts w:ascii="TT1915Do00" w:eastAsia="Cambria" w:hAnsi="TT1915Do00" w:cs="TT1915Do00"/>
          <w:color w:val="auto"/>
          <w:lang w:eastAsia="en-GB"/>
        </w:rPr>
        <w:t>Employer contributions are determined in accordance with the Regulations which require that an actuarial valuation is completed every three years by the actuary, including a rates and adjustments certificate. Contributions to the Scheme should be set so as to “secure its solvency”, whilst the actuary must also have regard to the desirability of maintaining as nearly constant a rate of contribution as possible.</w:t>
      </w:r>
    </w:p>
    <w:p w:rsidR="00E654DA" w:rsidRPr="001B57DD" w:rsidRDefault="00E654DA" w:rsidP="00E654DA">
      <w:pPr>
        <w:spacing w:after="0"/>
        <w:jc w:val="left"/>
        <w:rPr>
          <w:rFonts w:ascii="TT1915Do00" w:eastAsia="Cambria" w:hAnsi="TT1915Do00" w:cs="TT1915Do00"/>
          <w:color w:val="auto"/>
          <w:lang w:eastAsia="en-GB"/>
        </w:rPr>
      </w:pPr>
      <w:r w:rsidRPr="001B57DD">
        <w:rPr>
          <w:rFonts w:ascii="TT1915Do00" w:eastAsia="Cambria" w:hAnsi="TT1915Do00" w:cs="TT1915Do00"/>
          <w:color w:val="auto"/>
          <w:lang w:eastAsia="en-GB"/>
        </w:rPr>
        <w:t>The actuary must have regard to the FSS in carrying out the valuation.</w:t>
      </w:r>
    </w:p>
    <w:p w:rsidR="00E654DA" w:rsidRPr="001B57DD" w:rsidRDefault="00E654DA" w:rsidP="00612C1F">
      <w:pPr>
        <w:spacing w:after="0"/>
        <w:jc w:val="left"/>
        <w:rPr>
          <w:rFonts w:ascii="TT1915Do00" w:eastAsia="Cambria" w:hAnsi="TT1915Do00" w:cs="TT1915Do00"/>
          <w:color w:val="auto"/>
          <w:lang w:eastAsia="en-GB"/>
        </w:rPr>
      </w:pPr>
    </w:p>
    <w:p w:rsidR="00612C1F" w:rsidRPr="001B57DD" w:rsidRDefault="00612C1F" w:rsidP="00612C1F">
      <w:pPr>
        <w:spacing w:after="0"/>
        <w:jc w:val="left"/>
        <w:rPr>
          <w:rFonts w:ascii="TT1915Do00" w:eastAsia="Cambria" w:hAnsi="TT1915Do00" w:cs="TT1915Do00"/>
          <w:color w:val="auto"/>
          <w:lang w:eastAsia="en-GB"/>
        </w:rPr>
      </w:pPr>
      <w:r w:rsidRPr="001B57DD">
        <w:rPr>
          <w:rFonts w:ascii="TT1915Do00" w:eastAsia="Cambria" w:hAnsi="TT1915Do00" w:cs="TT1915Do00"/>
          <w:color w:val="auto"/>
          <w:lang w:eastAsia="en-GB"/>
        </w:rPr>
        <w:t xml:space="preserve">The </w:t>
      </w:r>
      <w:r w:rsidR="00D83060" w:rsidRPr="001B57DD">
        <w:rPr>
          <w:rFonts w:ascii="TT1915Do00" w:eastAsia="Cambria" w:hAnsi="TT1915Do00" w:cs="TT1915Do00"/>
          <w:color w:val="auto"/>
          <w:lang w:eastAsia="en-GB"/>
        </w:rPr>
        <w:t>Fund</w:t>
      </w:r>
      <w:r w:rsidRPr="001B57DD">
        <w:rPr>
          <w:rFonts w:ascii="TT1915Do00" w:eastAsia="Cambria" w:hAnsi="TT1915Do00" w:cs="TT1915Do00"/>
          <w:color w:val="auto"/>
          <w:lang w:eastAsia="en-GB"/>
        </w:rPr>
        <w:t xml:space="preserve"> is a defined benefit final salary scheme under which the benefits are</w:t>
      </w:r>
      <w:r w:rsidR="00DD34F1" w:rsidRPr="001B57DD">
        <w:rPr>
          <w:rFonts w:ascii="TT1915Do00" w:eastAsia="Cambria" w:hAnsi="TT1915Do00" w:cs="TT1915Do00"/>
          <w:color w:val="auto"/>
          <w:lang w:eastAsia="en-GB"/>
        </w:rPr>
        <w:t xml:space="preserve"> </w:t>
      </w:r>
      <w:r w:rsidRPr="001B57DD">
        <w:rPr>
          <w:rFonts w:ascii="TT1915Do00" w:eastAsia="Cambria" w:hAnsi="TT1915Do00" w:cs="TT1915Do00"/>
          <w:color w:val="auto"/>
          <w:lang w:eastAsia="en-GB"/>
        </w:rPr>
        <w:t>specified in governing legislation. The required levels of employee contributions</w:t>
      </w:r>
      <w:r w:rsidR="00157CEA" w:rsidRPr="001B57DD">
        <w:rPr>
          <w:rFonts w:ascii="TT1915Do00" w:eastAsia="Cambria" w:hAnsi="TT1915Do00" w:cs="TT1915Do00"/>
          <w:color w:val="auto"/>
          <w:lang w:eastAsia="en-GB"/>
        </w:rPr>
        <w:t xml:space="preserve"> </w:t>
      </w:r>
      <w:r w:rsidRPr="001B57DD">
        <w:rPr>
          <w:rFonts w:ascii="TT1915Do00" w:eastAsia="Cambria" w:hAnsi="TT1915Do00" w:cs="TT1915Do00"/>
          <w:color w:val="auto"/>
          <w:lang w:eastAsia="en-GB"/>
        </w:rPr>
        <w:t>are also specified in the Regulations.</w:t>
      </w:r>
      <w:r w:rsidR="00D83060" w:rsidRPr="001B57DD">
        <w:rPr>
          <w:rFonts w:ascii="TT1915Do00" w:eastAsia="Cambria" w:hAnsi="TT1915Do00" w:cs="TT1915Do00"/>
          <w:color w:val="auto"/>
          <w:lang w:eastAsia="en-GB"/>
        </w:rPr>
        <w:t xml:space="preserve"> The Fund, like many other similar public and private sector funded schemes, has a gap between its assets and pension liabilities which this strategy addresses.</w:t>
      </w:r>
    </w:p>
    <w:p w:rsidR="00D83060" w:rsidRPr="001B57DD" w:rsidRDefault="00D83060" w:rsidP="00612C1F">
      <w:pPr>
        <w:spacing w:after="0"/>
        <w:jc w:val="left"/>
        <w:rPr>
          <w:rFonts w:ascii="TT1915Do00" w:eastAsia="Cambria" w:hAnsi="TT1915Do00" w:cs="TT1915Do00"/>
          <w:color w:val="auto"/>
          <w:lang w:eastAsia="en-GB"/>
        </w:rPr>
      </w:pPr>
    </w:p>
    <w:p w:rsidR="00D83060" w:rsidRPr="001B57DD" w:rsidRDefault="00D83060" w:rsidP="00612C1F">
      <w:pPr>
        <w:spacing w:after="0"/>
        <w:jc w:val="left"/>
        <w:rPr>
          <w:rFonts w:ascii="TT1915Do00" w:eastAsia="Cambria" w:hAnsi="TT1915Do00" w:cs="TT1915Do00"/>
          <w:color w:val="auto"/>
          <w:lang w:eastAsia="en-GB"/>
        </w:rPr>
      </w:pPr>
      <w:r w:rsidRPr="001B57DD">
        <w:rPr>
          <w:rFonts w:ascii="TT1915Do00" w:eastAsia="Cambria" w:hAnsi="TT1915Do00" w:cs="TT1915Do00"/>
          <w:color w:val="auto"/>
          <w:lang w:eastAsia="en-GB"/>
        </w:rPr>
        <w:t>A number of factors have contributed to the funding gap and contribution rates f</w:t>
      </w:r>
      <w:r w:rsidR="00AE0D12">
        <w:rPr>
          <w:rFonts w:ascii="TT1915Do00" w:eastAsia="Cambria" w:hAnsi="TT1915Do00" w:cs="TT1915Do00"/>
          <w:color w:val="auto"/>
          <w:lang w:eastAsia="en-GB"/>
        </w:rPr>
        <w:t>o</w:t>
      </w:r>
      <w:r w:rsidRPr="001B57DD">
        <w:rPr>
          <w:rFonts w:ascii="TT1915Do00" w:eastAsia="Cambria" w:hAnsi="TT1915Do00" w:cs="TT1915Do00"/>
          <w:color w:val="auto"/>
          <w:lang w:eastAsia="en-GB"/>
        </w:rPr>
        <w:t>r employers:</w:t>
      </w:r>
    </w:p>
    <w:p w:rsidR="00D83060" w:rsidRPr="001B57DD" w:rsidRDefault="00D83060" w:rsidP="00612C1F">
      <w:pPr>
        <w:spacing w:after="0"/>
        <w:jc w:val="left"/>
        <w:rPr>
          <w:rFonts w:ascii="TT1915Do00" w:eastAsia="Cambria" w:hAnsi="TT1915Do00" w:cs="TT1915Do00"/>
          <w:color w:val="auto"/>
          <w:lang w:eastAsia="en-GB"/>
        </w:rPr>
      </w:pPr>
    </w:p>
    <w:p w:rsidR="00D83060" w:rsidRPr="001B57DD" w:rsidRDefault="00D83060" w:rsidP="00D83060">
      <w:pPr>
        <w:pStyle w:val="ListParagraph"/>
        <w:numPr>
          <w:ilvl w:val="0"/>
          <w:numId w:val="14"/>
        </w:numPr>
        <w:ind w:left="924" w:hanging="357"/>
        <w:contextualSpacing w:val="0"/>
        <w:jc w:val="left"/>
        <w:rPr>
          <w:rFonts w:ascii="TT1915Do00" w:eastAsia="Cambria" w:hAnsi="TT1915Do00" w:cs="TT1915Do00"/>
          <w:color w:val="auto"/>
          <w:lang w:eastAsia="en-GB"/>
        </w:rPr>
      </w:pPr>
      <w:r w:rsidRPr="001B57DD">
        <w:rPr>
          <w:rFonts w:ascii="TT1915Do00" w:eastAsia="Cambria" w:hAnsi="TT1915Do00" w:cs="TT1915Do00"/>
          <w:color w:val="auto"/>
          <w:lang w:eastAsia="en-GB"/>
        </w:rPr>
        <w:t>Investment returns relative to movements in liabilities;</w:t>
      </w:r>
    </w:p>
    <w:p w:rsidR="00D83060" w:rsidRPr="001B57DD" w:rsidRDefault="00D83060" w:rsidP="00D83060">
      <w:pPr>
        <w:pStyle w:val="ListParagraph"/>
        <w:numPr>
          <w:ilvl w:val="0"/>
          <w:numId w:val="14"/>
        </w:numPr>
        <w:ind w:left="924" w:hanging="357"/>
        <w:contextualSpacing w:val="0"/>
        <w:jc w:val="left"/>
        <w:rPr>
          <w:rFonts w:ascii="TT1915Do00" w:eastAsia="Cambria" w:hAnsi="TT1915Do00" w:cs="TT1915Do00"/>
          <w:color w:val="auto"/>
          <w:lang w:eastAsia="en-GB"/>
        </w:rPr>
      </w:pPr>
      <w:r w:rsidRPr="001B57DD">
        <w:rPr>
          <w:rFonts w:ascii="TT1915Do00" w:eastAsia="Cambria" w:hAnsi="TT1915Do00" w:cs="TT1915Do00"/>
          <w:color w:val="auto"/>
          <w:lang w:eastAsia="en-GB"/>
        </w:rPr>
        <w:t>Increases in longevity of pensioners;</w:t>
      </w:r>
    </w:p>
    <w:p w:rsidR="00D83060" w:rsidRPr="001B57DD" w:rsidRDefault="00D83060" w:rsidP="00D83060">
      <w:pPr>
        <w:pStyle w:val="ListParagraph"/>
        <w:numPr>
          <w:ilvl w:val="0"/>
          <w:numId w:val="14"/>
        </w:numPr>
        <w:ind w:left="924" w:hanging="357"/>
        <w:contextualSpacing w:val="0"/>
        <w:jc w:val="left"/>
        <w:rPr>
          <w:rFonts w:ascii="TT1915Do00" w:eastAsia="Cambria" w:hAnsi="TT1915Do00" w:cs="TT1915Do00"/>
          <w:color w:val="auto"/>
          <w:lang w:eastAsia="en-GB"/>
        </w:rPr>
      </w:pPr>
      <w:r w:rsidRPr="001B57DD">
        <w:rPr>
          <w:rFonts w:ascii="TT1915Do00" w:eastAsia="Cambria" w:hAnsi="TT1915Do00" w:cs="TT1915Do00"/>
          <w:color w:val="auto"/>
          <w:lang w:eastAsia="en-GB"/>
        </w:rPr>
        <w:t>Falling long-term interest rates.</w:t>
      </w:r>
    </w:p>
    <w:p w:rsidR="00D83060" w:rsidRPr="001B57DD" w:rsidRDefault="00D83060" w:rsidP="00D83060">
      <w:pPr>
        <w:jc w:val="left"/>
        <w:rPr>
          <w:rFonts w:ascii="TT1915Do00" w:eastAsia="Cambria" w:hAnsi="TT1915Do00" w:cs="TT1915Do00"/>
          <w:color w:val="auto"/>
          <w:lang w:eastAsia="en-GB"/>
        </w:rPr>
      </w:pPr>
      <w:r w:rsidRPr="001B57DD">
        <w:rPr>
          <w:rFonts w:ascii="TT1915Do00" w:eastAsia="Cambria" w:hAnsi="TT1915Do00" w:cs="TT1915Do00"/>
          <w:color w:val="auto"/>
          <w:lang w:eastAsia="en-GB"/>
        </w:rPr>
        <w:t>There are some steps that the actuary can take to assist employing bodies. These include:</w:t>
      </w:r>
    </w:p>
    <w:p w:rsidR="00D83060" w:rsidRPr="001B57DD" w:rsidRDefault="00D83060" w:rsidP="00D83060">
      <w:pPr>
        <w:pStyle w:val="ListParagraph"/>
        <w:numPr>
          <w:ilvl w:val="0"/>
          <w:numId w:val="14"/>
        </w:numPr>
        <w:ind w:left="924" w:hanging="357"/>
        <w:contextualSpacing w:val="0"/>
        <w:jc w:val="left"/>
        <w:rPr>
          <w:rFonts w:ascii="TT1915Do00" w:eastAsia="Cambria" w:hAnsi="TT1915Do00" w:cs="TT1915Do00"/>
          <w:color w:val="auto"/>
          <w:lang w:eastAsia="en-GB"/>
        </w:rPr>
      </w:pPr>
      <w:r w:rsidRPr="001B57DD">
        <w:rPr>
          <w:rFonts w:ascii="TT1915Do00" w:eastAsia="Cambria" w:hAnsi="TT1915Do00" w:cs="TT1915Do00"/>
          <w:color w:val="auto"/>
          <w:lang w:eastAsia="en-GB"/>
        </w:rPr>
        <w:t>Recognising the long-term nature of local government, so that deficits are recovered over time;</w:t>
      </w:r>
    </w:p>
    <w:p w:rsidR="00D83060" w:rsidRPr="001B57DD" w:rsidRDefault="00D83060" w:rsidP="00D83060">
      <w:pPr>
        <w:pStyle w:val="ListParagraph"/>
        <w:numPr>
          <w:ilvl w:val="0"/>
          <w:numId w:val="14"/>
        </w:numPr>
        <w:ind w:left="924" w:hanging="357"/>
        <w:contextualSpacing w:val="0"/>
        <w:jc w:val="left"/>
        <w:rPr>
          <w:rFonts w:ascii="TT1915Do00" w:eastAsia="Cambria" w:hAnsi="TT1915Do00" w:cs="TT1915Do00"/>
          <w:color w:val="auto"/>
          <w:lang w:eastAsia="en-GB"/>
        </w:rPr>
      </w:pPr>
      <w:r w:rsidRPr="001B57DD">
        <w:rPr>
          <w:rFonts w:ascii="TT1915Do00" w:eastAsia="Cambria" w:hAnsi="TT1915Do00" w:cs="TT1915Do00"/>
          <w:color w:val="auto"/>
          <w:lang w:eastAsia="en-GB"/>
        </w:rPr>
        <w:t>Phasing increases in contributions where appropriate;</w:t>
      </w:r>
    </w:p>
    <w:p w:rsidR="00DD34F1" w:rsidRPr="001B57DD" w:rsidRDefault="00D83060" w:rsidP="00E61B7C">
      <w:pPr>
        <w:pStyle w:val="ListParagraph"/>
        <w:numPr>
          <w:ilvl w:val="0"/>
          <w:numId w:val="14"/>
        </w:numPr>
        <w:spacing w:after="240"/>
        <w:ind w:left="924" w:hanging="357"/>
        <w:contextualSpacing w:val="0"/>
        <w:jc w:val="left"/>
        <w:rPr>
          <w:rFonts w:ascii="TT1915Do00" w:eastAsia="Cambria" w:hAnsi="TT1915Do00" w:cs="TT1915Do00"/>
          <w:color w:val="auto"/>
          <w:lang w:eastAsia="en-GB"/>
        </w:rPr>
      </w:pPr>
      <w:r w:rsidRPr="001B57DD">
        <w:rPr>
          <w:rFonts w:ascii="TT1915Do00" w:eastAsia="Cambria" w:hAnsi="TT1915Do00" w:cs="TT1915Do00"/>
          <w:color w:val="auto"/>
          <w:lang w:eastAsia="en-GB"/>
        </w:rPr>
        <w:t>Recognising such financial 'improvements' as a reduction in ill-health retirements</w:t>
      </w:r>
      <w:r w:rsidR="00E61B7C" w:rsidRPr="001B57DD">
        <w:rPr>
          <w:rFonts w:ascii="TT1915Do00" w:eastAsia="Cambria" w:hAnsi="TT1915Do00" w:cs="TT1915Do00"/>
          <w:color w:val="auto"/>
          <w:lang w:eastAsia="en-GB"/>
        </w:rPr>
        <w:t>, prevalence of spouse's and dependants' benefits on a members' death, and anticipated changes to the LGPS being finalised;</w:t>
      </w:r>
    </w:p>
    <w:p w:rsidR="00E61B7C" w:rsidRPr="001B57DD" w:rsidRDefault="00E61B7C" w:rsidP="00E61B7C">
      <w:pPr>
        <w:pStyle w:val="ListParagraph"/>
        <w:numPr>
          <w:ilvl w:val="0"/>
          <w:numId w:val="14"/>
        </w:numPr>
        <w:spacing w:after="240"/>
        <w:ind w:left="924" w:hanging="357"/>
        <w:contextualSpacing w:val="0"/>
        <w:jc w:val="left"/>
        <w:rPr>
          <w:rFonts w:ascii="TT1915Do00" w:eastAsia="Cambria" w:hAnsi="TT1915Do00" w:cs="TT1915Do00"/>
          <w:color w:val="auto"/>
          <w:lang w:eastAsia="en-GB"/>
        </w:rPr>
      </w:pPr>
      <w:r w:rsidRPr="001B57DD">
        <w:rPr>
          <w:rFonts w:ascii="TT1915Do00" w:eastAsia="Cambria" w:hAnsi="TT1915Do00" w:cs="TT1915Do00"/>
          <w:color w:val="auto"/>
          <w:lang w:eastAsia="en-GB"/>
        </w:rPr>
        <w:t>Giving weight to a balanced investment strategy.</w:t>
      </w:r>
    </w:p>
    <w:p w:rsidR="00E654DA" w:rsidRPr="001B57DD" w:rsidRDefault="00E654DA" w:rsidP="00E654DA">
      <w:pPr>
        <w:spacing w:after="0"/>
        <w:jc w:val="left"/>
        <w:rPr>
          <w:rFonts w:ascii="TT1915Do00" w:eastAsia="Cambria" w:hAnsi="TT1915Do00" w:cs="TT1915Do00"/>
          <w:color w:val="auto"/>
          <w:lang w:eastAsia="en-GB"/>
        </w:rPr>
      </w:pPr>
      <w:r w:rsidRPr="001B57DD">
        <w:rPr>
          <w:rFonts w:ascii="TT1915Do00" w:eastAsia="Cambria" w:hAnsi="TT1915Do00" w:cs="TT1915Do00"/>
          <w:color w:val="auto"/>
          <w:lang w:eastAsia="en-GB"/>
        </w:rPr>
        <w:t xml:space="preserve">The Fund, since it was established in its current form in 1974, has seen variations in its funding level. The funding level has previously </w:t>
      </w:r>
      <w:r w:rsidR="001B57DD" w:rsidRPr="001B57DD">
        <w:rPr>
          <w:rFonts w:ascii="TT1915Do00" w:eastAsia="Cambria" w:hAnsi="TT1915Do00" w:cs="TT1915Do00"/>
          <w:color w:val="auto"/>
          <w:lang w:eastAsia="en-GB"/>
        </w:rPr>
        <w:t>been below 70% and subsequently recovered. Over this long period, there has been a consistent approach with the actuarial valuation process, the link to an investment strategy, and balanced management of the risks. The current arrangements continue this approach, and are focussed upon securing diversified investment market returns from global markets. The approach adopted prioritises the achievement of at least market return and, in line with best practice, utilises asset management to deliver a substantial element of the investment target.</w:t>
      </w:r>
    </w:p>
    <w:p w:rsidR="001B57DD" w:rsidRPr="001B57DD" w:rsidRDefault="001B57DD" w:rsidP="00E654DA">
      <w:pPr>
        <w:spacing w:after="0"/>
        <w:jc w:val="left"/>
        <w:rPr>
          <w:rFonts w:ascii="TT1915Do00" w:eastAsia="Cambria" w:hAnsi="TT1915Do00" w:cs="TT1915Do00"/>
          <w:color w:val="auto"/>
          <w:lang w:eastAsia="en-GB"/>
        </w:rPr>
      </w:pPr>
    </w:p>
    <w:p w:rsidR="001B57DD" w:rsidRPr="001B57DD" w:rsidRDefault="001B57DD">
      <w:pPr>
        <w:autoSpaceDE/>
        <w:autoSpaceDN/>
        <w:adjustRightInd/>
        <w:spacing w:after="0"/>
        <w:jc w:val="left"/>
        <w:rPr>
          <w:rFonts w:eastAsia="Cambria" w:cs="Arial"/>
          <w:color w:val="auto"/>
          <w:sz w:val="28"/>
          <w:szCs w:val="28"/>
          <w:lang w:eastAsia="en-GB"/>
        </w:rPr>
      </w:pPr>
      <w:r w:rsidRPr="001B57DD">
        <w:rPr>
          <w:rFonts w:eastAsia="Cambria" w:cs="Arial"/>
          <w:color w:val="auto"/>
          <w:sz w:val="28"/>
          <w:szCs w:val="28"/>
          <w:lang w:eastAsia="en-GB"/>
        </w:rPr>
        <w:br w:type="page"/>
      </w:r>
    </w:p>
    <w:p w:rsidR="00DD34F1" w:rsidRDefault="00DD34F1" w:rsidP="00612C1F">
      <w:pPr>
        <w:spacing w:after="0"/>
        <w:jc w:val="left"/>
        <w:rPr>
          <w:rFonts w:eastAsia="Cambria" w:cs="Arial"/>
          <w:color w:val="FF0000"/>
          <w:sz w:val="28"/>
          <w:szCs w:val="28"/>
          <w:lang w:eastAsia="en-GB"/>
        </w:rPr>
      </w:pPr>
    </w:p>
    <w:p w:rsidR="00612C1F" w:rsidRPr="00EE5CB8" w:rsidRDefault="00612C1F" w:rsidP="00612C1F">
      <w:pPr>
        <w:spacing w:after="0"/>
        <w:jc w:val="left"/>
        <w:rPr>
          <w:rFonts w:ascii="TT1915Do00" w:eastAsia="Cambria" w:hAnsi="TT1915Do00" w:cs="TT1915Do00"/>
          <w:b/>
          <w:color w:val="auto"/>
          <w:lang w:eastAsia="en-GB"/>
        </w:rPr>
      </w:pPr>
      <w:r w:rsidRPr="00EE5CB8">
        <w:rPr>
          <w:rFonts w:ascii="TT1915Do00" w:eastAsia="Cambria" w:hAnsi="TT1915Do00" w:cs="TT1915Do00"/>
          <w:b/>
          <w:color w:val="auto"/>
          <w:lang w:eastAsia="en-GB"/>
        </w:rPr>
        <w:t>2. Purpose of the FSS in policy terms</w:t>
      </w:r>
    </w:p>
    <w:p w:rsidR="00DD34F1" w:rsidRPr="00DD34F1" w:rsidRDefault="00DD34F1" w:rsidP="00612C1F">
      <w:pPr>
        <w:spacing w:after="0"/>
        <w:jc w:val="left"/>
        <w:rPr>
          <w:rFonts w:ascii="TT1915Do00" w:eastAsia="Cambria" w:hAnsi="TT1915Do00" w:cs="TT1915Do00"/>
          <w:color w:val="auto"/>
          <w:lang w:eastAsia="en-GB"/>
        </w:rPr>
      </w:pPr>
    </w:p>
    <w:p w:rsidR="00612C1F" w:rsidRPr="00DD34F1" w:rsidRDefault="00612C1F" w:rsidP="00612C1F">
      <w:pPr>
        <w:spacing w:after="0"/>
        <w:jc w:val="left"/>
        <w:rPr>
          <w:rFonts w:ascii="TT1915Do00" w:eastAsia="Cambria" w:hAnsi="TT1915Do00" w:cs="TT1915Do00"/>
          <w:color w:val="auto"/>
          <w:lang w:eastAsia="en-GB"/>
        </w:rPr>
      </w:pPr>
      <w:r w:rsidRPr="00DD34F1">
        <w:rPr>
          <w:rFonts w:ascii="TT1915Do00" w:eastAsia="Cambria" w:hAnsi="TT1915Do00" w:cs="TT1915Do00"/>
          <w:color w:val="auto"/>
          <w:lang w:eastAsia="en-GB"/>
        </w:rPr>
        <w:t>Funding is the making of advance provision to meet the cost of accruing benefit</w:t>
      </w:r>
      <w:r w:rsidR="00DD34F1" w:rsidRPr="00DD34F1">
        <w:rPr>
          <w:rFonts w:ascii="TT1915Do00" w:eastAsia="Cambria" w:hAnsi="TT1915Do00" w:cs="TT1915Do00"/>
          <w:color w:val="auto"/>
          <w:lang w:eastAsia="en-GB"/>
        </w:rPr>
        <w:t xml:space="preserve"> </w:t>
      </w:r>
      <w:r w:rsidRPr="00DD34F1">
        <w:rPr>
          <w:rFonts w:ascii="TT1915Do00" w:eastAsia="Cambria" w:hAnsi="TT1915Do00" w:cs="TT1915Do00"/>
          <w:color w:val="auto"/>
          <w:lang w:eastAsia="en-GB"/>
        </w:rPr>
        <w:t>promises. Decisions taken regarding the approach to funding will therefore</w:t>
      </w:r>
      <w:r w:rsidR="00DD34F1" w:rsidRPr="00DD34F1">
        <w:rPr>
          <w:rFonts w:ascii="TT1915Do00" w:eastAsia="Cambria" w:hAnsi="TT1915Do00" w:cs="TT1915Do00"/>
          <w:color w:val="auto"/>
          <w:lang w:eastAsia="en-GB"/>
        </w:rPr>
        <w:t xml:space="preserve"> </w:t>
      </w:r>
      <w:r w:rsidRPr="00DD34F1">
        <w:rPr>
          <w:rFonts w:ascii="TT1915Do00" w:eastAsia="Cambria" w:hAnsi="TT1915Do00" w:cs="TT1915Do00"/>
          <w:color w:val="auto"/>
          <w:lang w:eastAsia="en-GB"/>
        </w:rPr>
        <w:t>determine the rate or pace at which this advance provision is made. Although the</w:t>
      </w:r>
      <w:r w:rsidR="00DD34F1" w:rsidRPr="00DD34F1">
        <w:rPr>
          <w:rFonts w:ascii="TT1915Do00" w:eastAsia="Cambria" w:hAnsi="TT1915Do00" w:cs="TT1915Do00"/>
          <w:color w:val="auto"/>
          <w:lang w:eastAsia="en-GB"/>
        </w:rPr>
        <w:t xml:space="preserve"> </w:t>
      </w:r>
      <w:r w:rsidRPr="00DD34F1">
        <w:rPr>
          <w:rFonts w:ascii="TT1915Do00" w:eastAsia="Cambria" w:hAnsi="TT1915Do00" w:cs="TT1915Do00"/>
          <w:color w:val="auto"/>
          <w:lang w:eastAsia="en-GB"/>
        </w:rPr>
        <w:t>Regulations specify the fundamental principles on which funding contributions</w:t>
      </w:r>
      <w:r w:rsidR="00DD34F1" w:rsidRPr="00DD34F1">
        <w:rPr>
          <w:rFonts w:ascii="TT1915Do00" w:eastAsia="Cambria" w:hAnsi="TT1915Do00" w:cs="TT1915Do00"/>
          <w:color w:val="auto"/>
          <w:lang w:eastAsia="en-GB"/>
        </w:rPr>
        <w:t xml:space="preserve"> </w:t>
      </w:r>
      <w:r w:rsidRPr="00DD34F1">
        <w:rPr>
          <w:rFonts w:ascii="TT1915Do00" w:eastAsia="Cambria" w:hAnsi="TT1915Do00" w:cs="TT1915Do00"/>
          <w:color w:val="auto"/>
          <w:lang w:eastAsia="en-GB"/>
        </w:rPr>
        <w:t>should be assessed, implementation of the funding strategy is the responsibility of</w:t>
      </w:r>
      <w:r w:rsidR="00DD34F1" w:rsidRPr="00DD34F1">
        <w:rPr>
          <w:rFonts w:ascii="TT1915Do00" w:eastAsia="Cambria" w:hAnsi="TT1915Do00" w:cs="TT1915Do00"/>
          <w:color w:val="auto"/>
          <w:lang w:eastAsia="en-GB"/>
        </w:rPr>
        <w:t xml:space="preserve"> </w:t>
      </w:r>
      <w:r w:rsidRPr="00DD34F1">
        <w:rPr>
          <w:rFonts w:ascii="TT1915Do00" w:eastAsia="Cambria" w:hAnsi="TT1915Do00" w:cs="TT1915Do00"/>
          <w:color w:val="auto"/>
          <w:lang w:eastAsia="en-GB"/>
        </w:rPr>
        <w:t>the Administering Authority, acting on the professional advice provided by the</w:t>
      </w:r>
      <w:r w:rsidR="00DD34F1" w:rsidRPr="00DD34F1">
        <w:rPr>
          <w:rFonts w:ascii="TT1915Do00" w:eastAsia="Cambria" w:hAnsi="TT1915Do00" w:cs="TT1915Do00"/>
          <w:color w:val="auto"/>
          <w:lang w:eastAsia="en-GB"/>
        </w:rPr>
        <w:t xml:space="preserve"> </w:t>
      </w:r>
      <w:r w:rsidRPr="00DD34F1">
        <w:rPr>
          <w:rFonts w:ascii="TT1915Do00" w:eastAsia="Cambria" w:hAnsi="TT1915Do00" w:cs="TT1915Do00"/>
          <w:color w:val="auto"/>
          <w:lang w:eastAsia="en-GB"/>
        </w:rPr>
        <w:t>actuary.</w:t>
      </w:r>
    </w:p>
    <w:p w:rsidR="00DD34F1" w:rsidRPr="00DD34F1" w:rsidRDefault="00DD34F1" w:rsidP="00612C1F">
      <w:pPr>
        <w:spacing w:after="0"/>
        <w:jc w:val="left"/>
        <w:rPr>
          <w:rFonts w:ascii="TT1915Ao00" w:eastAsia="Cambria" w:hAnsi="TT1915Ao00" w:cs="TT1915Ao00"/>
          <w:color w:val="auto"/>
          <w:lang w:eastAsia="en-GB"/>
        </w:rPr>
      </w:pPr>
    </w:p>
    <w:p w:rsidR="00612C1F" w:rsidRPr="00EE5CB8" w:rsidRDefault="00612C1F" w:rsidP="00612C1F">
      <w:pPr>
        <w:spacing w:after="0"/>
        <w:jc w:val="left"/>
        <w:rPr>
          <w:rFonts w:ascii="TT1915Ao00" w:eastAsia="Cambria" w:hAnsi="TT1915Ao00" w:cs="TT1915Ao00"/>
          <w:color w:val="auto"/>
          <w:lang w:eastAsia="en-GB"/>
        </w:rPr>
      </w:pPr>
      <w:r w:rsidRPr="00EE5CB8">
        <w:rPr>
          <w:rFonts w:ascii="TT1915Ao00" w:eastAsia="Cambria" w:hAnsi="TT1915Ao00" w:cs="TT1915Ao00"/>
          <w:color w:val="auto"/>
          <w:lang w:eastAsia="en-GB"/>
        </w:rPr>
        <w:t>The purpose of this Funding Strategy Statement is:</w:t>
      </w:r>
    </w:p>
    <w:p w:rsidR="00C71979" w:rsidRPr="00EE5CB8" w:rsidRDefault="00C71979" w:rsidP="00612C1F">
      <w:pPr>
        <w:spacing w:after="0"/>
        <w:jc w:val="left"/>
        <w:rPr>
          <w:rFonts w:ascii="TT1915Eo00" w:eastAsia="Cambria" w:hAnsi="TT1915Eo00" w:cs="TT1915Eo00"/>
          <w:color w:val="auto"/>
          <w:lang w:eastAsia="en-GB"/>
        </w:rPr>
      </w:pPr>
    </w:p>
    <w:p w:rsidR="00612C1F" w:rsidRPr="00EE5CB8" w:rsidRDefault="00612C1F" w:rsidP="00DA5325">
      <w:pPr>
        <w:pStyle w:val="ListParagraph"/>
        <w:numPr>
          <w:ilvl w:val="0"/>
          <w:numId w:val="14"/>
        </w:numPr>
        <w:ind w:left="924" w:hanging="357"/>
        <w:contextualSpacing w:val="0"/>
        <w:jc w:val="left"/>
        <w:rPr>
          <w:rFonts w:ascii="TT1915Ao00" w:eastAsia="Cambria" w:hAnsi="TT1915Ao00" w:cs="TT1915Ao00"/>
          <w:color w:val="auto"/>
          <w:lang w:eastAsia="en-GB"/>
        </w:rPr>
      </w:pPr>
      <w:r w:rsidRPr="00EE5CB8">
        <w:rPr>
          <w:rFonts w:ascii="TT1915Ao00" w:eastAsia="Cambria" w:hAnsi="TT1915Ao00" w:cs="TT1915Ao00"/>
          <w:color w:val="auto"/>
          <w:lang w:eastAsia="en-GB"/>
        </w:rPr>
        <w:t>to establish a clear and transparent fund-specific strategy which will</w:t>
      </w:r>
      <w:r w:rsidR="00C71979" w:rsidRPr="00EE5CB8">
        <w:rPr>
          <w:rFonts w:ascii="TT1915Ao00" w:eastAsia="Cambria" w:hAnsi="TT1915Ao00" w:cs="TT1915Ao00"/>
          <w:color w:val="auto"/>
          <w:lang w:eastAsia="en-GB"/>
        </w:rPr>
        <w:t xml:space="preserve"> </w:t>
      </w:r>
      <w:r w:rsidRPr="00EE5CB8">
        <w:rPr>
          <w:rFonts w:ascii="TT1915Ao00" w:eastAsia="Cambria" w:hAnsi="TT1915Ao00" w:cs="TT1915Ao00"/>
          <w:color w:val="auto"/>
          <w:lang w:eastAsia="en-GB"/>
        </w:rPr>
        <w:t>identify how employers' pension liabilities are best met going forward;</w:t>
      </w:r>
    </w:p>
    <w:p w:rsidR="00612C1F" w:rsidRPr="00EE5CB8" w:rsidRDefault="00612C1F" w:rsidP="00DA5325">
      <w:pPr>
        <w:pStyle w:val="ListParagraph"/>
        <w:numPr>
          <w:ilvl w:val="0"/>
          <w:numId w:val="14"/>
        </w:numPr>
        <w:ind w:left="924" w:hanging="357"/>
        <w:contextualSpacing w:val="0"/>
        <w:jc w:val="left"/>
        <w:rPr>
          <w:rFonts w:ascii="TT1915Ao00" w:eastAsia="Cambria" w:hAnsi="TT1915Ao00" w:cs="TT1915Ao00"/>
          <w:color w:val="auto"/>
          <w:lang w:eastAsia="en-GB"/>
        </w:rPr>
      </w:pPr>
      <w:r w:rsidRPr="00EE5CB8">
        <w:rPr>
          <w:rFonts w:ascii="TT1915Ao00" w:eastAsia="Cambria" w:hAnsi="TT1915Ao00" w:cs="TT1915Ao00"/>
          <w:color w:val="auto"/>
          <w:lang w:eastAsia="en-GB"/>
        </w:rPr>
        <w:t xml:space="preserve">to support the </w:t>
      </w:r>
      <w:r w:rsidR="00EE5CB8" w:rsidRPr="00EE5CB8">
        <w:rPr>
          <w:rFonts w:ascii="TT1915Ao00" w:eastAsia="Cambria" w:hAnsi="TT1915Ao00" w:cs="TT1915Ao00"/>
          <w:color w:val="auto"/>
          <w:lang w:eastAsia="en-GB"/>
        </w:rPr>
        <w:t xml:space="preserve">desirability </w:t>
      </w:r>
      <w:r w:rsidRPr="00EE5CB8">
        <w:rPr>
          <w:rFonts w:ascii="TT1915Ao00" w:eastAsia="Cambria" w:hAnsi="TT1915Ao00" w:cs="TT1915Ao00"/>
          <w:color w:val="auto"/>
          <w:lang w:eastAsia="en-GB"/>
        </w:rPr>
        <w:t>to maintain as nearly constant</w:t>
      </w:r>
      <w:r w:rsidR="00C71979" w:rsidRPr="00EE5CB8">
        <w:rPr>
          <w:rFonts w:ascii="TT1915Ao00" w:eastAsia="Cambria" w:hAnsi="TT1915Ao00" w:cs="TT1915Ao00"/>
          <w:color w:val="auto"/>
          <w:lang w:eastAsia="en-GB"/>
        </w:rPr>
        <w:t xml:space="preserve"> </w:t>
      </w:r>
      <w:r w:rsidR="00EE5CB8" w:rsidRPr="00EE5CB8">
        <w:rPr>
          <w:rFonts w:ascii="TT1915Ao00" w:eastAsia="Cambria" w:hAnsi="TT1915Ao00" w:cs="TT1915Ao00"/>
          <w:color w:val="auto"/>
          <w:lang w:eastAsia="en-GB"/>
        </w:rPr>
        <w:t>a common contribution rate</w:t>
      </w:r>
      <w:r w:rsidRPr="00EE5CB8">
        <w:rPr>
          <w:rFonts w:ascii="TT1915Ao00" w:eastAsia="Cambria" w:hAnsi="TT1915Ao00" w:cs="TT1915Ao00"/>
          <w:color w:val="auto"/>
          <w:lang w:eastAsia="en-GB"/>
        </w:rPr>
        <w:t xml:space="preserve"> as possible; and</w:t>
      </w:r>
    </w:p>
    <w:p w:rsidR="00612C1F" w:rsidRPr="00EE5CB8" w:rsidRDefault="00612C1F" w:rsidP="00DA5325">
      <w:pPr>
        <w:pStyle w:val="ListParagraph"/>
        <w:numPr>
          <w:ilvl w:val="0"/>
          <w:numId w:val="14"/>
        </w:numPr>
        <w:spacing w:after="0"/>
        <w:contextualSpacing w:val="0"/>
        <w:jc w:val="left"/>
        <w:rPr>
          <w:rFonts w:ascii="TT1915Ao00" w:eastAsia="Cambria" w:hAnsi="TT1915Ao00" w:cs="TT1915Ao00"/>
          <w:color w:val="auto"/>
          <w:lang w:eastAsia="en-GB"/>
        </w:rPr>
      </w:pPr>
      <w:r w:rsidRPr="00EE5CB8">
        <w:rPr>
          <w:rFonts w:ascii="TT1915Ao00" w:eastAsia="Cambria" w:hAnsi="TT1915Ao00" w:cs="TT1915Ao00"/>
          <w:color w:val="auto"/>
          <w:lang w:eastAsia="en-GB"/>
        </w:rPr>
        <w:t>to take a prudent longer-term view of funding those liabilities.</w:t>
      </w:r>
    </w:p>
    <w:p w:rsidR="00C71979" w:rsidRPr="00EE5CB8" w:rsidRDefault="00C71979" w:rsidP="00612C1F">
      <w:pPr>
        <w:spacing w:after="0"/>
        <w:jc w:val="left"/>
        <w:rPr>
          <w:rFonts w:ascii="TT1915Do00" w:eastAsia="Cambria" w:hAnsi="TT1915Do00" w:cs="TT1915Do00"/>
          <w:color w:val="auto"/>
          <w:lang w:eastAsia="en-GB"/>
        </w:rPr>
      </w:pPr>
    </w:p>
    <w:p w:rsidR="007E4874" w:rsidRDefault="007E4874" w:rsidP="00612C1F">
      <w:pPr>
        <w:spacing w:after="0"/>
        <w:jc w:val="left"/>
        <w:rPr>
          <w:rFonts w:ascii="TT1915Do00" w:eastAsia="Cambria" w:hAnsi="TT1915Do00" w:cs="TT1915Do00"/>
          <w:color w:val="auto"/>
          <w:lang w:eastAsia="en-GB"/>
        </w:rPr>
      </w:pPr>
      <w:r>
        <w:rPr>
          <w:rFonts w:ascii="TT1915Do00" w:eastAsia="Cambria" w:hAnsi="TT1915Do00" w:cs="TT1915Do00"/>
          <w:color w:val="auto"/>
          <w:lang w:eastAsia="en-GB"/>
        </w:rPr>
        <w:t>The Fund currently has a strong net cash inflow (including investment income). The FSS supports the process of ensuring adequate funds are put aside on a regular basis to meet future benefit liabilities. Whilst the LGPS regulations specify the approach and requirements, the implementation of the funding strategy is the responsibility of the Fund acting upon expert advice and following consultation.</w:t>
      </w:r>
    </w:p>
    <w:p w:rsidR="007E4874" w:rsidRDefault="007E4874" w:rsidP="00612C1F">
      <w:pPr>
        <w:spacing w:after="0"/>
        <w:jc w:val="left"/>
        <w:rPr>
          <w:rFonts w:ascii="TT1915Do00" w:eastAsia="Cambria" w:hAnsi="TT1915Do00" w:cs="TT1915Do00"/>
          <w:color w:val="auto"/>
          <w:lang w:eastAsia="en-GB"/>
        </w:rPr>
      </w:pPr>
    </w:p>
    <w:p w:rsidR="00612C1F" w:rsidRDefault="00612C1F" w:rsidP="00612C1F">
      <w:pPr>
        <w:spacing w:after="0"/>
        <w:jc w:val="left"/>
        <w:rPr>
          <w:rFonts w:ascii="TT1915Do00" w:eastAsia="Cambria" w:hAnsi="TT1915Do00" w:cs="TT1915Do00"/>
          <w:color w:val="auto"/>
          <w:lang w:eastAsia="en-GB"/>
        </w:rPr>
      </w:pPr>
      <w:r w:rsidRPr="00EE5CB8">
        <w:rPr>
          <w:rFonts w:ascii="TT1915Do00" w:eastAsia="Cambria" w:hAnsi="TT1915Do00" w:cs="TT1915Do00"/>
          <w:color w:val="auto"/>
          <w:lang w:eastAsia="en-GB"/>
        </w:rPr>
        <w:t>The intention is for this strategy to be both cohesive and comprehensive for the</w:t>
      </w:r>
      <w:r w:rsidR="00C71979" w:rsidRPr="00EE5CB8">
        <w:rPr>
          <w:rFonts w:ascii="TT1915Do00" w:eastAsia="Cambria" w:hAnsi="TT1915Do00" w:cs="TT1915Do00"/>
          <w:color w:val="auto"/>
          <w:lang w:eastAsia="en-GB"/>
        </w:rPr>
        <w:t xml:space="preserve"> </w:t>
      </w:r>
      <w:r w:rsidR="00EE5CB8" w:rsidRPr="00EE5CB8">
        <w:rPr>
          <w:rFonts w:ascii="TT1915Do00" w:eastAsia="Cambria" w:hAnsi="TT1915Do00" w:cs="TT1915Do00"/>
          <w:color w:val="auto"/>
          <w:lang w:eastAsia="en-GB"/>
        </w:rPr>
        <w:t>fund</w:t>
      </w:r>
      <w:r w:rsidRPr="00EE5CB8">
        <w:rPr>
          <w:rFonts w:ascii="TT1915Do00" w:eastAsia="Cambria" w:hAnsi="TT1915Do00" w:cs="TT1915Do00"/>
          <w:color w:val="auto"/>
          <w:lang w:eastAsia="en-GB"/>
        </w:rPr>
        <w:t xml:space="preserve"> as a whole, recognising that there will be conflicting objectives which</w:t>
      </w:r>
      <w:r w:rsidR="00C71979" w:rsidRPr="00EE5CB8">
        <w:rPr>
          <w:rFonts w:ascii="TT1915Do00" w:eastAsia="Cambria" w:hAnsi="TT1915Do00" w:cs="TT1915Do00"/>
          <w:color w:val="auto"/>
          <w:lang w:eastAsia="en-GB"/>
        </w:rPr>
        <w:t xml:space="preserve"> </w:t>
      </w:r>
      <w:r w:rsidRPr="00EE5CB8">
        <w:rPr>
          <w:rFonts w:ascii="TT1915Do00" w:eastAsia="Cambria" w:hAnsi="TT1915Do00" w:cs="TT1915Do00"/>
          <w:color w:val="auto"/>
          <w:lang w:eastAsia="en-GB"/>
        </w:rPr>
        <w:t>need to be balanced and reconciled. Whilst the position of individual employers</w:t>
      </w:r>
      <w:r w:rsidR="00C71979" w:rsidRPr="00EE5CB8">
        <w:rPr>
          <w:rFonts w:ascii="TT1915Do00" w:eastAsia="Cambria" w:hAnsi="TT1915Do00" w:cs="TT1915Do00"/>
          <w:color w:val="auto"/>
          <w:lang w:eastAsia="en-GB"/>
        </w:rPr>
        <w:t xml:space="preserve"> </w:t>
      </w:r>
      <w:r w:rsidRPr="00EE5CB8">
        <w:rPr>
          <w:rFonts w:ascii="TT1915Do00" w:eastAsia="Cambria" w:hAnsi="TT1915Do00" w:cs="TT1915Do00"/>
          <w:color w:val="auto"/>
          <w:lang w:eastAsia="en-GB"/>
        </w:rPr>
        <w:t>must be reflected in the statement, it</w:t>
      </w:r>
      <w:r w:rsidR="00EE5CB8" w:rsidRPr="00EE5CB8">
        <w:rPr>
          <w:rFonts w:ascii="TT1915Do00" w:eastAsia="Cambria" w:hAnsi="TT1915Do00" w:cs="TT1915Do00"/>
          <w:color w:val="auto"/>
          <w:lang w:eastAsia="en-GB"/>
        </w:rPr>
        <w:t>s focus should at all times be on those long-term interests of the fund</w:t>
      </w:r>
      <w:r w:rsidR="000D4873">
        <w:rPr>
          <w:rFonts w:ascii="TT1915Do00" w:eastAsia="Cambria" w:hAnsi="TT1915Do00" w:cs="TT1915Do00"/>
          <w:color w:val="auto"/>
          <w:lang w:eastAsia="en-GB"/>
        </w:rPr>
        <w:t xml:space="preserve"> as a whole</w:t>
      </w:r>
      <w:r w:rsidR="00EE5CB8" w:rsidRPr="00EE5CB8">
        <w:rPr>
          <w:rFonts w:ascii="TT1915Do00" w:eastAsia="Cambria" w:hAnsi="TT1915Do00" w:cs="TT1915Do00"/>
          <w:color w:val="auto"/>
          <w:lang w:eastAsia="en-GB"/>
        </w:rPr>
        <w:t>.</w:t>
      </w:r>
    </w:p>
    <w:p w:rsidR="007E4874" w:rsidRDefault="007E4874" w:rsidP="00612C1F">
      <w:pPr>
        <w:spacing w:after="0"/>
        <w:jc w:val="left"/>
        <w:rPr>
          <w:rFonts w:ascii="TT1915Do00" w:eastAsia="Cambria" w:hAnsi="TT1915Do00" w:cs="TT1915Do00"/>
          <w:color w:val="auto"/>
          <w:lang w:eastAsia="en-GB"/>
        </w:rPr>
      </w:pPr>
    </w:p>
    <w:p w:rsidR="007E4874" w:rsidRPr="00EE5CB8" w:rsidRDefault="007E4874" w:rsidP="00612C1F">
      <w:pPr>
        <w:spacing w:after="0"/>
        <w:jc w:val="left"/>
        <w:rPr>
          <w:rFonts w:ascii="TT1915Do00" w:eastAsia="Cambria" w:hAnsi="TT1915Do00" w:cs="TT1915Do00"/>
          <w:color w:val="auto"/>
          <w:lang w:eastAsia="en-GB"/>
        </w:rPr>
      </w:pPr>
      <w:r>
        <w:rPr>
          <w:rFonts w:ascii="TT1915Do00" w:eastAsia="Cambria" w:hAnsi="TT1915Do00" w:cs="TT1915Do00"/>
          <w:color w:val="auto"/>
          <w:lang w:eastAsia="en-GB"/>
        </w:rPr>
        <w:t>The solvency of the Fund is a long-term management issue. It is essential that funds are made available to ensure that all future pension payments can be met when they become due.</w:t>
      </w:r>
    </w:p>
    <w:p w:rsidR="00C71979" w:rsidRDefault="00C71979" w:rsidP="00612C1F">
      <w:pPr>
        <w:spacing w:after="0"/>
        <w:jc w:val="left"/>
        <w:rPr>
          <w:rFonts w:ascii="TT1915Do00" w:eastAsia="Cambria" w:hAnsi="TT1915Do00" w:cs="TT1915Do00"/>
          <w:color w:val="auto"/>
          <w:lang w:eastAsia="en-GB"/>
        </w:rPr>
      </w:pPr>
    </w:p>
    <w:p w:rsidR="002F1044" w:rsidRPr="00912379" w:rsidRDefault="002F1044" w:rsidP="00612C1F">
      <w:pPr>
        <w:spacing w:after="0"/>
        <w:jc w:val="left"/>
        <w:rPr>
          <w:rFonts w:ascii="TT1915Do00" w:eastAsia="Cambria" w:hAnsi="TT1915Do00" w:cs="TT1915Do00"/>
          <w:color w:val="auto"/>
          <w:lang w:eastAsia="en-GB"/>
        </w:rPr>
      </w:pPr>
    </w:p>
    <w:p w:rsidR="00612C1F" w:rsidRPr="00912379" w:rsidRDefault="00612C1F" w:rsidP="00612C1F">
      <w:pPr>
        <w:spacing w:after="0"/>
        <w:jc w:val="left"/>
        <w:rPr>
          <w:rFonts w:ascii="TT1915Do00" w:eastAsia="Cambria" w:hAnsi="TT1915Do00" w:cs="TT1915Do00"/>
          <w:b/>
          <w:color w:val="auto"/>
          <w:lang w:eastAsia="en-GB"/>
        </w:rPr>
      </w:pPr>
      <w:r w:rsidRPr="00912379">
        <w:rPr>
          <w:rFonts w:ascii="TT1915Do00" w:eastAsia="Cambria" w:hAnsi="TT1915Do00" w:cs="TT1915Do00"/>
          <w:b/>
          <w:color w:val="auto"/>
          <w:lang w:eastAsia="en-GB"/>
        </w:rPr>
        <w:t>3. Aims and purpose of the Pension Fund</w:t>
      </w:r>
    </w:p>
    <w:p w:rsidR="00C71979" w:rsidRPr="00912379" w:rsidRDefault="00C71979" w:rsidP="00612C1F">
      <w:pPr>
        <w:spacing w:after="0"/>
        <w:jc w:val="left"/>
        <w:rPr>
          <w:rFonts w:ascii="TT1915Ao00" w:eastAsia="Cambria" w:hAnsi="TT1915Ao00" w:cs="TT1915Ao00"/>
          <w:color w:val="auto"/>
          <w:lang w:eastAsia="en-GB"/>
        </w:rPr>
      </w:pPr>
    </w:p>
    <w:p w:rsidR="00612C1F" w:rsidRPr="00912379" w:rsidRDefault="00612C1F" w:rsidP="00DA5325">
      <w:pPr>
        <w:jc w:val="left"/>
        <w:rPr>
          <w:rFonts w:ascii="TT1915Ao00" w:eastAsia="Cambria" w:hAnsi="TT1915Ao00" w:cs="TT1915Ao00"/>
          <w:color w:val="auto"/>
          <w:lang w:eastAsia="en-GB"/>
        </w:rPr>
      </w:pPr>
      <w:r w:rsidRPr="00912379">
        <w:rPr>
          <w:rFonts w:ascii="TT1915Ao00" w:eastAsia="Cambria" w:hAnsi="TT1915Ao00" w:cs="TT1915Ao00"/>
          <w:color w:val="auto"/>
          <w:lang w:eastAsia="en-GB"/>
        </w:rPr>
        <w:t>The aims of the fund are to:</w:t>
      </w:r>
    </w:p>
    <w:p w:rsidR="00612C1F" w:rsidRPr="00912379" w:rsidRDefault="00612C1F" w:rsidP="00DA5325">
      <w:pPr>
        <w:pStyle w:val="ListParagraph"/>
        <w:numPr>
          <w:ilvl w:val="0"/>
          <w:numId w:val="14"/>
        </w:numPr>
        <w:ind w:left="924" w:hanging="357"/>
        <w:contextualSpacing w:val="0"/>
        <w:jc w:val="left"/>
        <w:rPr>
          <w:rFonts w:ascii="TT1915Do00" w:eastAsia="Cambria" w:hAnsi="TT1915Do00" w:cs="TT1915Do00"/>
          <w:color w:val="auto"/>
          <w:lang w:eastAsia="en-GB"/>
        </w:rPr>
      </w:pPr>
      <w:r w:rsidRPr="00912379">
        <w:rPr>
          <w:rFonts w:ascii="TT1915Do00" w:eastAsia="Cambria" w:hAnsi="TT1915Do00" w:cs="TT1915Do00"/>
          <w:color w:val="auto"/>
          <w:lang w:eastAsia="en-GB"/>
        </w:rPr>
        <w:t>enable employer contribution rates to be kept as nearly constant as</w:t>
      </w:r>
      <w:r w:rsidR="00C71979" w:rsidRPr="00912379">
        <w:rPr>
          <w:rFonts w:ascii="TT1915Do00" w:eastAsia="Cambria" w:hAnsi="TT1915Do00" w:cs="TT1915Do00"/>
          <w:color w:val="auto"/>
          <w:lang w:eastAsia="en-GB"/>
        </w:rPr>
        <w:t xml:space="preserve"> </w:t>
      </w:r>
      <w:r w:rsidRPr="00912379">
        <w:rPr>
          <w:rFonts w:ascii="TT1915Do00" w:eastAsia="Cambria" w:hAnsi="TT1915Do00" w:cs="TT1915Do00"/>
          <w:color w:val="auto"/>
          <w:lang w:eastAsia="en-GB"/>
        </w:rPr>
        <w:t xml:space="preserve">possible and </w:t>
      </w:r>
      <w:r w:rsidR="00661D01" w:rsidRPr="00912379">
        <w:rPr>
          <w:rFonts w:ascii="TT1915Do00" w:eastAsia="Cambria" w:hAnsi="TT1915Do00" w:cs="TT1915Do00"/>
          <w:color w:val="auto"/>
          <w:lang w:eastAsia="en-GB"/>
        </w:rPr>
        <w:t xml:space="preserve">(subject to the administering authority not taking undue risks) </w:t>
      </w:r>
      <w:r w:rsidRPr="00912379">
        <w:rPr>
          <w:rFonts w:ascii="TT1915Do00" w:eastAsia="Cambria" w:hAnsi="TT1915Do00" w:cs="TT1915Do00"/>
          <w:color w:val="auto"/>
          <w:lang w:eastAsia="en-GB"/>
        </w:rPr>
        <w:t>at reasonable cost to the taxpayers, scheduled,</w:t>
      </w:r>
      <w:r w:rsidR="00C71979" w:rsidRPr="00912379">
        <w:rPr>
          <w:rFonts w:ascii="TT1915Do00" w:eastAsia="Cambria" w:hAnsi="TT1915Do00" w:cs="TT1915Do00"/>
          <w:color w:val="auto"/>
          <w:lang w:eastAsia="en-GB"/>
        </w:rPr>
        <w:t xml:space="preserve"> </w:t>
      </w:r>
      <w:r w:rsidRPr="00912379">
        <w:rPr>
          <w:rFonts w:ascii="TT1915Do00" w:eastAsia="Cambria" w:hAnsi="TT1915Do00" w:cs="TT1915Do00"/>
          <w:color w:val="auto"/>
          <w:lang w:eastAsia="en-GB"/>
        </w:rPr>
        <w:t>resolution and admitted bodies</w:t>
      </w:r>
      <w:r w:rsidR="00661D01" w:rsidRPr="00912379">
        <w:rPr>
          <w:rFonts w:ascii="TT1915Do00" w:eastAsia="Cambria" w:hAnsi="TT1915Do00" w:cs="TT1915Do00"/>
          <w:color w:val="auto"/>
          <w:lang w:eastAsia="en-GB"/>
        </w:rPr>
        <w:t>, whilst achieving and maintaining fund solvency, which should be assessed in light of the risk profile of the fund and the risk appetite of the administering authority and employers alike</w:t>
      </w:r>
      <w:r w:rsidR="00DA5325">
        <w:rPr>
          <w:rFonts w:ascii="TT1915Do00" w:eastAsia="Cambria" w:hAnsi="TT1915Do00" w:cs="TT1915Do00"/>
          <w:color w:val="auto"/>
          <w:lang w:eastAsia="en-GB"/>
        </w:rPr>
        <w:t>;</w:t>
      </w:r>
    </w:p>
    <w:p w:rsidR="00612C1F" w:rsidRPr="00912379" w:rsidRDefault="00612C1F" w:rsidP="00DA5325">
      <w:pPr>
        <w:pStyle w:val="ListParagraph"/>
        <w:numPr>
          <w:ilvl w:val="0"/>
          <w:numId w:val="14"/>
        </w:numPr>
        <w:ind w:left="924" w:hanging="357"/>
        <w:contextualSpacing w:val="0"/>
        <w:jc w:val="left"/>
        <w:rPr>
          <w:rFonts w:ascii="TT1915Do00" w:eastAsia="Cambria" w:hAnsi="TT1915Do00" w:cs="TT1915Do00"/>
          <w:color w:val="auto"/>
          <w:lang w:eastAsia="en-GB"/>
        </w:rPr>
      </w:pPr>
      <w:r w:rsidRPr="00912379">
        <w:rPr>
          <w:rFonts w:ascii="TT1915Do00" w:eastAsia="Cambria" w:hAnsi="TT1915Do00" w:cs="TT1915Do00"/>
          <w:color w:val="auto"/>
          <w:lang w:eastAsia="en-GB"/>
        </w:rPr>
        <w:t>manage employers’ liabilities effectively</w:t>
      </w:r>
      <w:r w:rsidR="00C71979" w:rsidRPr="00912379">
        <w:rPr>
          <w:rFonts w:ascii="TT1915Do00" w:eastAsia="Cambria" w:hAnsi="TT1915Do00" w:cs="TT1915Do00"/>
          <w:color w:val="auto"/>
          <w:lang w:eastAsia="en-GB"/>
        </w:rPr>
        <w:t xml:space="preserve"> </w:t>
      </w:r>
      <w:r w:rsidR="00912379" w:rsidRPr="00912379">
        <w:rPr>
          <w:rFonts w:ascii="TT1915Do00" w:eastAsia="Cambria" w:hAnsi="TT1915Do00" w:cs="TT1915Do00"/>
          <w:color w:val="auto"/>
          <w:lang w:eastAsia="en-GB"/>
        </w:rPr>
        <w:t xml:space="preserve">and </w:t>
      </w:r>
      <w:r w:rsidRPr="00912379">
        <w:rPr>
          <w:rFonts w:ascii="TT1915Do00" w:eastAsia="Cambria" w:hAnsi="TT1915Do00" w:cs="TT1915Do00"/>
          <w:color w:val="auto"/>
          <w:lang w:eastAsia="en-GB"/>
        </w:rPr>
        <w:t>ensure that sufficient resources are available to meet all liabilities as</w:t>
      </w:r>
      <w:r w:rsidR="00C71979" w:rsidRPr="00912379">
        <w:rPr>
          <w:rFonts w:ascii="TT1915Do00" w:eastAsia="Cambria" w:hAnsi="TT1915Do00" w:cs="TT1915Do00"/>
          <w:color w:val="auto"/>
          <w:lang w:eastAsia="en-GB"/>
        </w:rPr>
        <w:t xml:space="preserve"> </w:t>
      </w:r>
      <w:r w:rsidRPr="00912379">
        <w:rPr>
          <w:rFonts w:ascii="TT1915Do00" w:eastAsia="Cambria" w:hAnsi="TT1915Do00" w:cs="TT1915Do00"/>
          <w:color w:val="auto"/>
          <w:lang w:eastAsia="en-GB"/>
        </w:rPr>
        <w:t>they fall due</w:t>
      </w:r>
      <w:r w:rsidR="00DA5325">
        <w:rPr>
          <w:rFonts w:ascii="TT1915Do00" w:eastAsia="Cambria" w:hAnsi="TT1915Do00" w:cs="TT1915Do00"/>
          <w:color w:val="auto"/>
          <w:lang w:eastAsia="en-GB"/>
        </w:rPr>
        <w:t>;</w:t>
      </w:r>
      <w:r w:rsidRPr="00912379">
        <w:rPr>
          <w:rFonts w:ascii="TT1915Do00" w:eastAsia="Cambria" w:hAnsi="TT1915Do00" w:cs="TT1915Do00"/>
          <w:color w:val="auto"/>
          <w:lang w:eastAsia="en-GB"/>
        </w:rPr>
        <w:t xml:space="preserve"> and</w:t>
      </w:r>
    </w:p>
    <w:p w:rsidR="00612C1F" w:rsidRPr="00912379" w:rsidRDefault="00912379" w:rsidP="00DA5325">
      <w:pPr>
        <w:pStyle w:val="ListParagraph"/>
        <w:numPr>
          <w:ilvl w:val="0"/>
          <w:numId w:val="14"/>
        </w:numPr>
        <w:ind w:left="924" w:hanging="357"/>
        <w:contextualSpacing w:val="0"/>
        <w:jc w:val="left"/>
        <w:rPr>
          <w:rFonts w:ascii="TT1915Do00" w:eastAsia="Cambria" w:hAnsi="TT1915Do00" w:cs="TT1915Do00"/>
          <w:color w:val="auto"/>
          <w:lang w:eastAsia="en-GB"/>
        </w:rPr>
      </w:pPr>
      <w:r w:rsidRPr="00912379">
        <w:rPr>
          <w:rFonts w:ascii="TT1915Do00" w:eastAsia="Cambria" w:hAnsi="TT1915Do00" w:cs="TT1915Do00"/>
          <w:color w:val="auto"/>
          <w:lang w:eastAsia="en-GB"/>
        </w:rPr>
        <w:t xml:space="preserve">seek returns on </w:t>
      </w:r>
      <w:r w:rsidR="00612C1F" w:rsidRPr="00912379">
        <w:rPr>
          <w:rFonts w:ascii="TT1915Do00" w:eastAsia="Cambria" w:hAnsi="TT1915Do00" w:cs="TT1915Do00"/>
          <w:color w:val="auto"/>
          <w:lang w:eastAsia="en-GB"/>
        </w:rPr>
        <w:t>investment within reasonable risk</w:t>
      </w:r>
      <w:r w:rsidR="00C71979" w:rsidRPr="00912379">
        <w:rPr>
          <w:rFonts w:ascii="TT1915Do00" w:eastAsia="Cambria" w:hAnsi="TT1915Do00" w:cs="TT1915Do00"/>
          <w:color w:val="auto"/>
          <w:lang w:eastAsia="en-GB"/>
        </w:rPr>
        <w:t xml:space="preserve"> </w:t>
      </w:r>
      <w:r w:rsidR="00612C1F" w:rsidRPr="00912379">
        <w:rPr>
          <w:rFonts w:ascii="TT1915Do00" w:eastAsia="Cambria" w:hAnsi="TT1915Do00" w:cs="TT1915Do00"/>
          <w:color w:val="auto"/>
          <w:lang w:eastAsia="en-GB"/>
        </w:rPr>
        <w:t>parameters.</w:t>
      </w:r>
    </w:p>
    <w:p w:rsidR="00C71979" w:rsidRPr="00912379" w:rsidRDefault="00C71979" w:rsidP="00612C1F">
      <w:pPr>
        <w:spacing w:after="0"/>
        <w:jc w:val="left"/>
        <w:rPr>
          <w:rFonts w:ascii="TT1915Do00" w:eastAsia="Cambria" w:hAnsi="TT1915Do00" w:cs="TT1915Do00"/>
          <w:color w:val="auto"/>
          <w:lang w:eastAsia="en-GB"/>
        </w:rPr>
      </w:pPr>
    </w:p>
    <w:p w:rsidR="00612C1F" w:rsidRPr="00DA5325" w:rsidRDefault="00612C1F" w:rsidP="00DA5325">
      <w:pPr>
        <w:jc w:val="left"/>
        <w:rPr>
          <w:rFonts w:ascii="TT1915Ao00" w:eastAsia="Cambria" w:hAnsi="TT1915Ao00" w:cs="TT1915Ao00"/>
          <w:color w:val="auto"/>
          <w:lang w:eastAsia="en-GB"/>
        </w:rPr>
      </w:pPr>
      <w:r w:rsidRPr="00DA5325">
        <w:rPr>
          <w:rFonts w:ascii="TT1915Ao00" w:eastAsia="Cambria" w:hAnsi="TT1915Ao00" w:cs="TT1915Ao00"/>
          <w:color w:val="auto"/>
          <w:lang w:eastAsia="en-GB"/>
        </w:rPr>
        <w:lastRenderedPageBreak/>
        <w:t>The purpose of the fund is to:</w:t>
      </w:r>
    </w:p>
    <w:p w:rsidR="00612C1F" w:rsidRPr="00DA5325" w:rsidRDefault="00612C1F" w:rsidP="0005640D">
      <w:pPr>
        <w:pStyle w:val="ListParagraph"/>
        <w:numPr>
          <w:ilvl w:val="0"/>
          <w:numId w:val="14"/>
        </w:numPr>
        <w:ind w:left="924" w:hanging="357"/>
        <w:contextualSpacing w:val="0"/>
        <w:jc w:val="left"/>
        <w:rPr>
          <w:rFonts w:ascii="TT1915Do00" w:eastAsia="Cambria" w:hAnsi="TT1915Do00" w:cs="TT1915Do00"/>
          <w:color w:val="auto"/>
          <w:lang w:eastAsia="en-GB"/>
        </w:rPr>
      </w:pPr>
      <w:r w:rsidRPr="00DA5325">
        <w:rPr>
          <w:rFonts w:ascii="TT1915Do00" w:eastAsia="Cambria" w:hAnsi="TT1915Do00" w:cs="TT1915Do00"/>
          <w:color w:val="auto"/>
          <w:lang w:eastAsia="en-GB"/>
        </w:rPr>
        <w:t>receive monies in respect of contributions, transfer values and</w:t>
      </w:r>
      <w:r w:rsidR="00C71979" w:rsidRPr="00DA5325">
        <w:rPr>
          <w:rFonts w:ascii="TT1915Do00" w:eastAsia="Cambria" w:hAnsi="TT1915Do00" w:cs="TT1915Do00"/>
          <w:color w:val="auto"/>
          <w:lang w:eastAsia="en-GB"/>
        </w:rPr>
        <w:t xml:space="preserve"> </w:t>
      </w:r>
      <w:r w:rsidRPr="00DA5325">
        <w:rPr>
          <w:rFonts w:ascii="TT1915Do00" w:eastAsia="Cambria" w:hAnsi="TT1915Do00" w:cs="TT1915Do00"/>
          <w:color w:val="auto"/>
          <w:lang w:eastAsia="en-GB"/>
        </w:rPr>
        <w:t>investment income</w:t>
      </w:r>
      <w:r w:rsidR="00DA5325" w:rsidRPr="00DA5325">
        <w:rPr>
          <w:rFonts w:ascii="TT1915Do00" w:eastAsia="Cambria" w:hAnsi="TT1915Do00" w:cs="TT1915Do00"/>
          <w:color w:val="auto"/>
          <w:lang w:eastAsia="en-GB"/>
        </w:rPr>
        <w:t>;</w:t>
      </w:r>
      <w:r w:rsidRPr="00DA5325">
        <w:rPr>
          <w:rFonts w:ascii="TT1915Do00" w:eastAsia="Cambria" w:hAnsi="TT1915Do00" w:cs="TT1915Do00"/>
          <w:color w:val="auto"/>
          <w:lang w:eastAsia="en-GB"/>
        </w:rPr>
        <w:t xml:space="preserve"> and</w:t>
      </w:r>
    </w:p>
    <w:p w:rsidR="00612C1F" w:rsidRPr="00DA5325" w:rsidRDefault="00612C1F" w:rsidP="0005640D">
      <w:pPr>
        <w:pStyle w:val="ListParagraph"/>
        <w:numPr>
          <w:ilvl w:val="0"/>
          <w:numId w:val="14"/>
        </w:numPr>
        <w:ind w:left="924" w:hanging="357"/>
        <w:contextualSpacing w:val="0"/>
        <w:jc w:val="left"/>
        <w:rPr>
          <w:rFonts w:ascii="TT1915Do00" w:eastAsia="Cambria" w:hAnsi="TT1915Do00" w:cs="TT1915Do00"/>
          <w:color w:val="auto"/>
          <w:lang w:eastAsia="en-GB"/>
        </w:rPr>
      </w:pPr>
      <w:r w:rsidRPr="00DA5325">
        <w:rPr>
          <w:rFonts w:ascii="TT1915Do00" w:eastAsia="Cambria" w:hAnsi="TT1915Do00" w:cs="TT1915Do00"/>
          <w:color w:val="auto"/>
          <w:lang w:eastAsia="en-GB"/>
        </w:rPr>
        <w:t>pay out monies in respect of scheme benefits, transfer values,</w:t>
      </w:r>
      <w:r w:rsidR="00C71979" w:rsidRPr="00DA5325">
        <w:rPr>
          <w:rFonts w:ascii="TT1915Do00" w:eastAsia="Cambria" w:hAnsi="TT1915Do00" w:cs="TT1915Do00"/>
          <w:color w:val="auto"/>
          <w:lang w:eastAsia="en-GB"/>
        </w:rPr>
        <w:t xml:space="preserve"> </w:t>
      </w:r>
      <w:r w:rsidRPr="00DA5325">
        <w:rPr>
          <w:rFonts w:ascii="TT1915Do00" w:eastAsia="Cambria" w:hAnsi="TT1915Do00" w:cs="TT1915Do00"/>
          <w:color w:val="auto"/>
          <w:lang w:eastAsia="en-GB"/>
        </w:rPr>
        <w:t>costs, charges and expenses,</w:t>
      </w:r>
      <w:r w:rsidR="00C71979" w:rsidRPr="00DA5325">
        <w:rPr>
          <w:rFonts w:ascii="TT1915Do00" w:eastAsia="Cambria" w:hAnsi="TT1915Do00" w:cs="TT1915Do00"/>
          <w:color w:val="auto"/>
          <w:lang w:eastAsia="en-GB"/>
        </w:rPr>
        <w:t xml:space="preserve"> </w:t>
      </w:r>
      <w:r w:rsidRPr="00DA5325">
        <w:rPr>
          <w:rFonts w:ascii="TT1915Do00" w:eastAsia="Cambria" w:hAnsi="TT1915Do00" w:cs="TT1915Do00"/>
          <w:color w:val="auto"/>
          <w:lang w:eastAsia="en-GB"/>
        </w:rPr>
        <w:t>as defined in the Local Government Pension Scheme Regulations</w:t>
      </w:r>
      <w:r w:rsidR="00DA5325" w:rsidRPr="00DA5325">
        <w:rPr>
          <w:rFonts w:ascii="TT1915Do00" w:eastAsia="Cambria" w:hAnsi="TT1915Do00" w:cs="TT1915Do00"/>
          <w:color w:val="auto"/>
          <w:lang w:eastAsia="en-GB"/>
        </w:rPr>
        <w:t xml:space="preserve"> and as required in the Local Government Pension Scheme (Management and Investment of Funds) Regulations 2009.</w:t>
      </w:r>
    </w:p>
    <w:p w:rsidR="00B16B86" w:rsidRPr="00D646BC" w:rsidRDefault="00B16B86">
      <w:pPr>
        <w:autoSpaceDE/>
        <w:autoSpaceDN/>
        <w:adjustRightInd/>
        <w:spacing w:after="0"/>
        <w:jc w:val="left"/>
        <w:rPr>
          <w:rFonts w:ascii="TT1915Do00" w:eastAsia="Cambria" w:hAnsi="TT1915Do00" w:cs="TT1915Do00"/>
          <w:color w:val="auto"/>
          <w:lang w:eastAsia="en-GB"/>
        </w:rPr>
      </w:pPr>
    </w:p>
    <w:p w:rsidR="00C71979" w:rsidRPr="00964B33" w:rsidRDefault="00C71979" w:rsidP="00612C1F">
      <w:pPr>
        <w:spacing w:after="0"/>
        <w:jc w:val="left"/>
        <w:rPr>
          <w:rFonts w:ascii="TT1915Do00" w:eastAsia="Cambria" w:hAnsi="TT1915Do00" w:cs="TT1915Do00"/>
          <w:color w:val="auto"/>
          <w:lang w:eastAsia="en-GB"/>
        </w:rPr>
      </w:pPr>
    </w:p>
    <w:p w:rsidR="00612C1F" w:rsidRPr="00964B33" w:rsidRDefault="00612C1F" w:rsidP="00612C1F">
      <w:pPr>
        <w:spacing w:after="0"/>
        <w:jc w:val="left"/>
        <w:rPr>
          <w:rFonts w:ascii="TT1915Do00" w:eastAsia="Cambria" w:hAnsi="TT1915Do00" w:cs="TT1915Do00"/>
          <w:b/>
          <w:color w:val="auto"/>
          <w:lang w:eastAsia="en-GB"/>
        </w:rPr>
      </w:pPr>
      <w:r w:rsidRPr="00964B33">
        <w:rPr>
          <w:rFonts w:ascii="TT1915Do00" w:eastAsia="Cambria" w:hAnsi="TT1915Do00" w:cs="TT1915Do00"/>
          <w:b/>
          <w:color w:val="auto"/>
          <w:lang w:eastAsia="en-GB"/>
        </w:rPr>
        <w:t>4. Responsibilities of the key parties</w:t>
      </w:r>
    </w:p>
    <w:p w:rsidR="00475611" w:rsidRPr="00F05667" w:rsidRDefault="00475611" w:rsidP="00612C1F">
      <w:pPr>
        <w:spacing w:after="0"/>
        <w:jc w:val="left"/>
        <w:rPr>
          <w:rFonts w:ascii="TT1915Ao00" w:eastAsia="Cambria" w:hAnsi="TT1915Ao00" w:cs="TT1915Ao00"/>
          <w:color w:val="auto"/>
          <w:lang w:eastAsia="en-GB"/>
        </w:rPr>
      </w:pPr>
    </w:p>
    <w:p w:rsidR="006851D4" w:rsidRDefault="006851D4" w:rsidP="00964B33">
      <w:pPr>
        <w:jc w:val="left"/>
        <w:rPr>
          <w:rFonts w:ascii="TT1915Ao00" w:eastAsia="Cambria" w:hAnsi="TT1915Ao00" w:cs="TT1915Ao00"/>
          <w:color w:val="auto"/>
          <w:lang w:eastAsia="en-GB"/>
        </w:rPr>
      </w:pPr>
      <w:r>
        <w:rPr>
          <w:rFonts w:ascii="TT1915Ao00" w:eastAsia="Cambria" w:hAnsi="TT1915Ao00" w:cs="TT1915Ao00"/>
          <w:color w:val="auto"/>
          <w:lang w:eastAsia="en-GB"/>
        </w:rPr>
        <w:t>The LGPS regulations set out the responsibilities of the key parties, which are summarised below:</w:t>
      </w:r>
    </w:p>
    <w:p w:rsidR="00612C1F" w:rsidRPr="00F05667" w:rsidRDefault="00612C1F" w:rsidP="00964B33">
      <w:pPr>
        <w:jc w:val="left"/>
        <w:rPr>
          <w:rFonts w:ascii="TT1915Do00" w:eastAsia="Cambria" w:hAnsi="TT1915Do00" w:cs="TT1915Do00"/>
          <w:color w:val="auto"/>
          <w:lang w:eastAsia="en-GB"/>
        </w:rPr>
      </w:pPr>
      <w:r w:rsidRPr="00F05667">
        <w:rPr>
          <w:rFonts w:ascii="TT1915Ao00" w:eastAsia="Cambria" w:hAnsi="TT1915Ao00" w:cs="TT1915Ao00"/>
          <w:color w:val="auto"/>
          <w:lang w:eastAsia="en-GB"/>
        </w:rPr>
        <w:t xml:space="preserve">The </w:t>
      </w:r>
      <w:r w:rsidR="00D646BC">
        <w:rPr>
          <w:rFonts w:ascii="TT1915Ao00" w:eastAsia="Cambria" w:hAnsi="TT1915Ao00" w:cs="TT1915Ao00"/>
          <w:color w:val="auto"/>
          <w:lang w:eastAsia="en-GB"/>
        </w:rPr>
        <w:t>a</w:t>
      </w:r>
      <w:r w:rsidRPr="00F05667">
        <w:rPr>
          <w:rFonts w:ascii="TT1915Ao00" w:eastAsia="Cambria" w:hAnsi="TT1915Ao00" w:cs="TT1915Ao00"/>
          <w:color w:val="auto"/>
          <w:lang w:eastAsia="en-GB"/>
        </w:rPr>
        <w:t xml:space="preserve">dministering </w:t>
      </w:r>
      <w:r w:rsidR="00D646BC">
        <w:rPr>
          <w:rFonts w:ascii="TT1915Ao00" w:eastAsia="Cambria" w:hAnsi="TT1915Ao00" w:cs="TT1915Ao00"/>
          <w:color w:val="auto"/>
          <w:lang w:eastAsia="en-GB"/>
        </w:rPr>
        <w:t>a</w:t>
      </w:r>
      <w:r w:rsidRPr="00F05667">
        <w:rPr>
          <w:rFonts w:ascii="TT1915Ao00" w:eastAsia="Cambria" w:hAnsi="TT1915Ao00" w:cs="TT1915Ao00"/>
          <w:color w:val="auto"/>
          <w:lang w:eastAsia="en-GB"/>
        </w:rPr>
        <w:t xml:space="preserve">uthority </w:t>
      </w:r>
      <w:r w:rsidR="006851D4">
        <w:rPr>
          <w:rFonts w:ascii="TT1915Ao00" w:eastAsia="Cambria" w:hAnsi="TT1915Ao00" w:cs="TT1915Ao00"/>
          <w:color w:val="auto"/>
          <w:lang w:eastAsia="en-GB"/>
        </w:rPr>
        <w:t xml:space="preserve">(Lancashire County Council) </w:t>
      </w:r>
      <w:r w:rsidR="00F05667" w:rsidRPr="00F05667">
        <w:rPr>
          <w:rFonts w:ascii="TT1915Ao00" w:eastAsia="Cambria" w:hAnsi="TT1915Ao00" w:cs="TT1915Ao00"/>
          <w:color w:val="auto"/>
          <w:lang w:eastAsia="en-GB"/>
        </w:rPr>
        <w:t>is required to:</w:t>
      </w:r>
    </w:p>
    <w:p w:rsidR="00612C1F" w:rsidRPr="00F05667" w:rsidRDefault="00612C1F" w:rsidP="00F05667">
      <w:pPr>
        <w:pStyle w:val="ListParagraph"/>
        <w:numPr>
          <w:ilvl w:val="0"/>
          <w:numId w:val="14"/>
        </w:numPr>
        <w:ind w:left="924" w:hanging="357"/>
        <w:contextualSpacing w:val="0"/>
        <w:jc w:val="left"/>
        <w:rPr>
          <w:rFonts w:ascii="TT1915Do00" w:eastAsia="Cambria" w:hAnsi="TT1915Do00" w:cs="TT1915Do00"/>
          <w:color w:val="auto"/>
          <w:lang w:eastAsia="en-GB"/>
        </w:rPr>
      </w:pPr>
      <w:r w:rsidRPr="00F05667">
        <w:rPr>
          <w:rFonts w:ascii="TT1915Do00" w:eastAsia="Cambria" w:hAnsi="TT1915Do00" w:cs="TT1915Do00"/>
          <w:color w:val="auto"/>
          <w:lang w:eastAsia="en-GB"/>
        </w:rPr>
        <w:t>collect employer and employee contributions</w:t>
      </w:r>
      <w:r w:rsidR="00F05667" w:rsidRPr="00F05667">
        <w:rPr>
          <w:rFonts w:ascii="TT1915Do00" w:eastAsia="Cambria" w:hAnsi="TT1915Do00" w:cs="TT1915Do00"/>
          <w:color w:val="auto"/>
          <w:lang w:eastAsia="en-GB"/>
        </w:rPr>
        <w:t>, investment income and other amounts due to the pension fund as stipulated in LGPS Regulations</w:t>
      </w:r>
      <w:r w:rsidR="00FB3648">
        <w:rPr>
          <w:rFonts w:ascii="TT1915Do00" w:eastAsia="Cambria" w:hAnsi="TT1915Do00" w:cs="TT1915Do00"/>
          <w:color w:val="auto"/>
          <w:lang w:eastAsia="en-GB"/>
        </w:rPr>
        <w:t>;</w:t>
      </w:r>
    </w:p>
    <w:p w:rsidR="00F05667" w:rsidRPr="00590127" w:rsidRDefault="00590127" w:rsidP="00F05667">
      <w:pPr>
        <w:pStyle w:val="ListParagraph"/>
        <w:numPr>
          <w:ilvl w:val="0"/>
          <w:numId w:val="14"/>
        </w:numPr>
        <w:ind w:left="924" w:hanging="357"/>
        <w:contextualSpacing w:val="0"/>
        <w:jc w:val="left"/>
        <w:rPr>
          <w:rFonts w:ascii="TT1915Do00" w:eastAsia="Cambria" w:hAnsi="TT1915Do00" w:cs="TT1915Do00"/>
          <w:color w:val="auto"/>
          <w:lang w:eastAsia="en-GB"/>
        </w:rPr>
      </w:pPr>
      <w:r w:rsidRPr="00590127">
        <w:rPr>
          <w:rFonts w:ascii="TT1915Do00" w:eastAsia="Cambria" w:hAnsi="TT1915Do00" w:cs="TT1915Do00"/>
          <w:color w:val="auto"/>
          <w:lang w:eastAsia="en-GB"/>
        </w:rPr>
        <w:t>pay from the pension fund the relevant entitlements as stipulated in LGPS regulations</w:t>
      </w:r>
      <w:r w:rsidR="00FB3648">
        <w:rPr>
          <w:rFonts w:ascii="TT1915Do00" w:eastAsia="Cambria" w:hAnsi="TT1915Do00" w:cs="TT1915Do00"/>
          <w:color w:val="auto"/>
          <w:lang w:eastAsia="en-GB"/>
        </w:rPr>
        <w:t>;</w:t>
      </w:r>
    </w:p>
    <w:p w:rsidR="00612C1F" w:rsidRPr="00964B33" w:rsidRDefault="00612C1F" w:rsidP="00590127">
      <w:pPr>
        <w:pStyle w:val="ListParagraph"/>
        <w:numPr>
          <w:ilvl w:val="0"/>
          <w:numId w:val="14"/>
        </w:numPr>
        <w:ind w:left="924" w:hanging="357"/>
        <w:contextualSpacing w:val="0"/>
        <w:jc w:val="left"/>
        <w:rPr>
          <w:rFonts w:ascii="TT1915Do00" w:eastAsia="Cambria" w:hAnsi="TT1915Do00" w:cs="TT1915Do00"/>
          <w:color w:val="auto"/>
          <w:lang w:eastAsia="en-GB"/>
        </w:rPr>
      </w:pPr>
      <w:r w:rsidRPr="00964B33">
        <w:rPr>
          <w:rFonts w:ascii="TT1915Do00" w:eastAsia="Cambria" w:hAnsi="TT1915Do00" w:cs="TT1915Do00"/>
          <w:color w:val="auto"/>
          <w:lang w:eastAsia="en-GB"/>
        </w:rPr>
        <w:t>invest surplus monies in accordance with the LGPS Regulations</w:t>
      </w:r>
      <w:r w:rsidR="00FB3648">
        <w:rPr>
          <w:rFonts w:ascii="TT1915Do00" w:eastAsia="Cambria" w:hAnsi="TT1915Do00" w:cs="TT1915Do00"/>
          <w:color w:val="auto"/>
          <w:lang w:eastAsia="en-GB"/>
        </w:rPr>
        <w:t>;</w:t>
      </w:r>
    </w:p>
    <w:p w:rsidR="00612C1F" w:rsidRDefault="00612C1F" w:rsidP="00964B33">
      <w:pPr>
        <w:pStyle w:val="ListParagraph"/>
        <w:numPr>
          <w:ilvl w:val="0"/>
          <w:numId w:val="14"/>
        </w:numPr>
        <w:ind w:left="924" w:hanging="357"/>
        <w:contextualSpacing w:val="0"/>
        <w:jc w:val="left"/>
        <w:rPr>
          <w:rFonts w:ascii="TT1915Do00" w:eastAsia="Cambria" w:hAnsi="TT1915Do00" w:cs="TT1915Do00"/>
          <w:color w:val="auto"/>
          <w:lang w:eastAsia="en-GB"/>
        </w:rPr>
      </w:pPr>
      <w:r w:rsidRPr="00964B33">
        <w:rPr>
          <w:rFonts w:ascii="TT1915Do00" w:eastAsia="Cambria" w:hAnsi="TT1915Do00" w:cs="TT1915Do00"/>
          <w:color w:val="auto"/>
          <w:lang w:eastAsia="en-GB"/>
        </w:rPr>
        <w:t>ensure that cash is available to meet liabilities as and when they fall due</w:t>
      </w:r>
      <w:r w:rsidR="00FB3648">
        <w:rPr>
          <w:rFonts w:ascii="TT1915Do00" w:eastAsia="Cambria" w:hAnsi="TT1915Do00" w:cs="TT1915Do00"/>
          <w:color w:val="auto"/>
          <w:lang w:eastAsia="en-GB"/>
        </w:rPr>
        <w:t>;</w:t>
      </w:r>
    </w:p>
    <w:p w:rsidR="00964B33" w:rsidRDefault="00964B33" w:rsidP="00964B33">
      <w:pPr>
        <w:pStyle w:val="ListParagraph"/>
        <w:numPr>
          <w:ilvl w:val="0"/>
          <w:numId w:val="14"/>
        </w:numPr>
        <w:ind w:left="924" w:hanging="357"/>
        <w:contextualSpacing w:val="0"/>
        <w:jc w:val="left"/>
        <w:rPr>
          <w:rFonts w:ascii="TT1915Do00" w:eastAsia="Cambria" w:hAnsi="TT1915Do00" w:cs="TT1915Do00"/>
          <w:color w:val="auto"/>
          <w:lang w:eastAsia="en-GB"/>
        </w:rPr>
      </w:pPr>
      <w:r>
        <w:rPr>
          <w:rFonts w:ascii="TT1915Do00" w:eastAsia="Cambria" w:hAnsi="TT1915Do00" w:cs="TT1915Do00"/>
          <w:color w:val="auto"/>
          <w:lang w:eastAsia="en-GB"/>
        </w:rPr>
        <w:t>take measures as set out in the regulations to safeguard the fund against the consequences of employer default</w:t>
      </w:r>
      <w:r w:rsidR="00FB3648">
        <w:rPr>
          <w:rFonts w:ascii="TT1915Do00" w:eastAsia="Cambria" w:hAnsi="TT1915Do00" w:cs="TT1915Do00"/>
          <w:color w:val="auto"/>
          <w:lang w:eastAsia="en-GB"/>
        </w:rPr>
        <w:t>;</w:t>
      </w:r>
    </w:p>
    <w:p w:rsidR="00612C1F" w:rsidRPr="00964B33" w:rsidRDefault="00612C1F" w:rsidP="00964B33">
      <w:pPr>
        <w:pStyle w:val="ListParagraph"/>
        <w:numPr>
          <w:ilvl w:val="0"/>
          <w:numId w:val="14"/>
        </w:numPr>
        <w:ind w:left="924" w:hanging="357"/>
        <w:contextualSpacing w:val="0"/>
        <w:jc w:val="left"/>
        <w:rPr>
          <w:rFonts w:ascii="TT1915Do00" w:eastAsia="Cambria" w:hAnsi="TT1915Do00" w:cs="TT1915Do00"/>
          <w:color w:val="auto"/>
          <w:lang w:eastAsia="en-GB"/>
        </w:rPr>
      </w:pPr>
      <w:r w:rsidRPr="00964B33">
        <w:rPr>
          <w:rFonts w:ascii="TT1915Do00" w:eastAsia="Cambria" w:hAnsi="TT1915Do00" w:cs="TT1915Do00"/>
          <w:color w:val="auto"/>
          <w:lang w:eastAsia="en-GB"/>
        </w:rPr>
        <w:t xml:space="preserve">manage the valuation process in consultation with the </w:t>
      </w:r>
      <w:r w:rsidR="00964B33" w:rsidRPr="00964B33">
        <w:rPr>
          <w:rFonts w:ascii="TT1915Do00" w:eastAsia="Cambria" w:hAnsi="TT1915Do00" w:cs="TT1915Do00"/>
          <w:color w:val="auto"/>
          <w:lang w:eastAsia="en-GB"/>
        </w:rPr>
        <w:t xml:space="preserve">fund's </w:t>
      </w:r>
      <w:r w:rsidRPr="00964B33">
        <w:rPr>
          <w:rFonts w:ascii="TT1915Do00" w:eastAsia="Cambria" w:hAnsi="TT1915Do00" w:cs="TT1915Do00"/>
          <w:color w:val="auto"/>
          <w:lang w:eastAsia="en-GB"/>
        </w:rPr>
        <w:t>actuary</w:t>
      </w:r>
      <w:r w:rsidR="00FB3648">
        <w:rPr>
          <w:rFonts w:ascii="TT1915Do00" w:eastAsia="Cambria" w:hAnsi="TT1915Do00" w:cs="TT1915Do00"/>
          <w:color w:val="auto"/>
          <w:lang w:eastAsia="en-GB"/>
        </w:rPr>
        <w:t>;</w:t>
      </w:r>
    </w:p>
    <w:p w:rsidR="00612C1F" w:rsidRPr="00964B33" w:rsidRDefault="00612C1F" w:rsidP="00964B33">
      <w:pPr>
        <w:pStyle w:val="ListParagraph"/>
        <w:numPr>
          <w:ilvl w:val="0"/>
          <w:numId w:val="14"/>
        </w:numPr>
        <w:ind w:left="924" w:hanging="357"/>
        <w:contextualSpacing w:val="0"/>
        <w:jc w:val="left"/>
        <w:rPr>
          <w:rFonts w:ascii="TT1915Do00" w:eastAsia="Cambria" w:hAnsi="TT1915Do00" w:cs="TT1915Do00"/>
          <w:color w:val="auto"/>
          <w:lang w:eastAsia="en-GB"/>
        </w:rPr>
      </w:pPr>
      <w:r w:rsidRPr="00964B33">
        <w:rPr>
          <w:rFonts w:ascii="TT1915Do00" w:eastAsia="Cambria" w:hAnsi="TT1915Do00" w:cs="TT1915Do00"/>
          <w:color w:val="auto"/>
          <w:lang w:eastAsia="en-GB"/>
        </w:rPr>
        <w:t>prepare and maintain a Funding Strategy Statement and a Statement of</w:t>
      </w:r>
      <w:r w:rsidR="00C71979" w:rsidRPr="00964B33">
        <w:rPr>
          <w:rFonts w:ascii="TT1915Do00" w:eastAsia="Cambria" w:hAnsi="TT1915Do00" w:cs="TT1915Do00"/>
          <w:color w:val="auto"/>
          <w:lang w:eastAsia="en-GB"/>
        </w:rPr>
        <w:t xml:space="preserve"> </w:t>
      </w:r>
      <w:r w:rsidRPr="00964B33">
        <w:rPr>
          <w:rFonts w:ascii="TT1915Do00" w:eastAsia="Cambria" w:hAnsi="TT1915Do00" w:cs="TT1915Do00"/>
          <w:color w:val="auto"/>
          <w:lang w:eastAsia="en-GB"/>
        </w:rPr>
        <w:t xml:space="preserve">Investment Principles, both after </w:t>
      </w:r>
      <w:r w:rsidR="00964B33" w:rsidRPr="00964B33">
        <w:rPr>
          <w:rFonts w:ascii="TT1915Do00" w:eastAsia="Cambria" w:hAnsi="TT1915Do00" w:cs="TT1915Do00"/>
          <w:color w:val="auto"/>
          <w:lang w:eastAsia="en-GB"/>
        </w:rPr>
        <w:t xml:space="preserve">proper </w:t>
      </w:r>
      <w:r w:rsidRPr="00964B33">
        <w:rPr>
          <w:rFonts w:ascii="TT1915Do00" w:eastAsia="Cambria" w:hAnsi="TT1915Do00" w:cs="TT1915Do00"/>
          <w:color w:val="auto"/>
          <w:lang w:eastAsia="en-GB"/>
        </w:rPr>
        <w:t>consultation with interested parties</w:t>
      </w:r>
      <w:r w:rsidR="00FB3648">
        <w:rPr>
          <w:rFonts w:ascii="TT1915Do00" w:eastAsia="Cambria" w:hAnsi="TT1915Do00" w:cs="TT1915Do00"/>
          <w:color w:val="auto"/>
          <w:lang w:eastAsia="en-GB"/>
        </w:rPr>
        <w:t>;</w:t>
      </w:r>
    </w:p>
    <w:p w:rsidR="00612C1F" w:rsidRDefault="00612C1F" w:rsidP="00964B33">
      <w:pPr>
        <w:pStyle w:val="ListParagraph"/>
        <w:numPr>
          <w:ilvl w:val="0"/>
          <w:numId w:val="14"/>
        </w:numPr>
        <w:ind w:left="924" w:hanging="357"/>
        <w:contextualSpacing w:val="0"/>
        <w:jc w:val="left"/>
        <w:rPr>
          <w:rFonts w:ascii="TT1915Do00" w:eastAsia="Cambria" w:hAnsi="TT1915Do00" w:cs="TT1915Do00"/>
          <w:color w:val="auto"/>
          <w:lang w:eastAsia="en-GB"/>
        </w:rPr>
      </w:pPr>
      <w:r w:rsidRPr="00964B33">
        <w:rPr>
          <w:rFonts w:ascii="TT1915Do00" w:eastAsia="Cambria" w:hAnsi="TT1915Do00" w:cs="TT1915Do00"/>
          <w:color w:val="auto"/>
          <w:lang w:eastAsia="en-GB"/>
        </w:rPr>
        <w:t xml:space="preserve">monitor all aspects of the </w:t>
      </w:r>
      <w:r w:rsidR="00964B33" w:rsidRPr="00964B33">
        <w:rPr>
          <w:rFonts w:ascii="TT1915Do00" w:eastAsia="Cambria" w:hAnsi="TT1915Do00" w:cs="TT1915Do00"/>
          <w:color w:val="auto"/>
          <w:lang w:eastAsia="en-GB"/>
        </w:rPr>
        <w:t xml:space="preserve">fund's </w:t>
      </w:r>
      <w:r w:rsidRPr="00964B33">
        <w:rPr>
          <w:rFonts w:ascii="TT1915Do00" w:eastAsia="Cambria" w:hAnsi="TT1915Do00" w:cs="TT1915Do00"/>
          <w:color w:val="auto"/>
          <w:lang w:eastAsia="en-GB"/>
        </w:rPr>
        <w:t>performance and funding and amend</w:t>
      </w:r>
      <w:r w:rsidR="00C71979" w:rsidRPr="00964B33">
        <w:rPr>
          <w:rFonts w:ascii="TT1915Do00" w:eastAsia="Cambria" w:hAnsi="TT1915Do00" w:cs="TT1915Do00"/>
          <w:color w:val="auto"/>
          <w:lang w:eastAsia="en-GB"/>
        </w:rPr>
        <w:t xml:space="preserve"> </w:t>
      </w:r>
      <w:r w:rsidRPr="00964B33">
        <w:rPr>
          <w:rFonts w:ascii="TT1915Do00" w:eastAsia="Cambria" w:hAnsi="TT1915Do00" w:cs="TT1915Do00"/>
          <w:color w:val="auto"/>
          <w:lang w:eastAsia="en-GB"/>
        </w:rPr>
        <w:t>Funding Strategy Statement/</w:t>
      </w:r>
      <w:r w:rsidR="00964B33" w:rsidRPr="00964B33">
        <w:rPr>
          <w:rFonts w:ascii="TT1915Do00" w:eastAsia="Cambria" w:hAnsi="TT1915Do00" w:cs="TT1915Do00"/>
          <w:color w:val="auto"/>
          <w:lang w:eastAsia="en-GB"/>
        </w:rPr>
        <w:t xml:space="preserve"> </w:t>
      </w:r>
      <w:r w:rsidRPr="00964B33">
        <w:rPr>
          <w:rFonts w:ascii="TT1915Do00" w:eastAsia="Cambria" w:hAnsi="TT1915Do00" w:cs="TT1915Do00"/>
          <w:color w:val="auto"/>
          <w:lang w:eastAsia="en-GB"/>
        </w:rPr>
        <w:t>Statement of Investment Principles</w:t>
      </w:r>
      <w:r w:rsidR="00964B33" w:rsidRPr="00964B33">
        <w:rPr>
          <w:rFonts w:ascii="TT1915Do00" w:eastAsia="Cambria" w:hAnsi="TT1915Do00" w:cs="TT1915Do00"/>
          <w:color w:val="auto"/>
          <w:lang w:eastAsia="en-GB"/>
        </w:rPr>
        <w:t xml:space="preserve"> accordingly</w:t>
      </w:r>
      <w:r w:rsidR="00FB3648">
        <w:rPr>
          <w:rFonts w:ascii="TT1915Do00" w:eastAsia="Cambria" w:hAnsi="TT1915Do00" w:cs="TT1915Do00"/>
          <w:color w:val="auto"/>
          <w:lang w:eastAsia="en-GB"/>
        </w:rPr>
        <w:t>;</w:t>
      </w:r>
    </w:p>
    <w:p w:rsidR="00964B33" w:rsidRPr="00964B33" w:rsidRDefault="00964B33" w:rsidP="00964B33">
      <w:pPr>
        <w:pStyle w:val="ListParagraph"/>
        <w:numPr>
          <w:ilvl w:val="0"/>
          <w:numId w:val="14"/>
        </w:numPr>
        <w:ind w:left="924" w:hanging="357"/>
        <w:contextualSpacing w:val="0"/>
        <w:jc w:val="left"/>
        <w:rPr>
          <w:rFonts w:ascii="TT1915Do00" w:eastAsia="Cambria" w:hAnsi="TT1915Do00" w:cs="TT1915Do00"/>
          <w:color w:val="auto"/>
          <w:lang w:eastAsia="en-GB"/>
        </w:rPr>
      </w:pPr>
      <w:r>
        <w:rPr>
          <w:rFonts w:ascii="TT1915Do00" w:eastAsia="Cambria" w:hAnsi="TT1915Do00" w:cs="TT1915Do00"/>
          <w:color w:val="auto"/>
          <w:lang w:eastAsia="en-GB"/>
        </w:rPr>
        <w:t>effectively manage any potential conflicts of interest arising from its dual role as both fund administrator and scheme employer</w:t>
      </w:r>
      <w:r w:rsidR="00FB3648">
        <w:rPr>
          <w:rFonts w:ascii="TT1915Do00" w:eastAsia="Cambria" w:hAnsi="TT1915Do00" w:cs="TT1915Do00"/>
          <w:color w:val="auto"/>
          <w:lang w:eastAsia="en-GB"/>
        </w:rPr>
        <w:t>.</w:t>
      </w:r>
    </w:p>
    <w:p w:rsidR="00C71979" w:rsidRPr="00D646BC" w:rsidRDefault="00C71979" w:rsidP="00612C1F">
      <w:pPr>
        <w:spacing w:after="0"/>
        <w:jc w:val="left"/>
        <w:rPr>
          <w:rFonts w:ascii="TT1915Ao00" w:eastAsia="Cambria" w:hAnsi="TT1915Ao00" w:cs="TT1915Ao00"/>
          <w:color w:val="auto"/>
          <w:lang w:eastAsia="en-GB"/>
        </w:rPr>
      </w:pPr>
    </w:p>
    <w:p w:rsidR="00612C1F" w:rsidRPr="00D646BC" w:rsidRDefault="00612C1F" w:rsidP="00D646BC">
      <w:pPr>
        <w:jc w:val="left"/>
        <w:rPr>
          <w:rFonts w:ascii="TT1915Do00" w:eastAsia="Cambria" w:hAnsi="TT1915Do00" w:cs="TT1915Do00"/>
          <w:color w:val="auto"/>
          <w:lang w:eastAsia="en-GB"/>
        </w:rPr>
      </w:pPr>
      <w:r w:rsidRPr="00D646BC">
        <w:rPr>
          <w:rFonts w:ascii="TT1915Ao00" w:eastAsia="Cambria" w:hAnsi="TT1915Ao00" w:cs="TT1915Ao00"/>
          <w:color w:val="auto"/>
          <w:lang w:eastAsia="en-GB"/>
        </w:rPr>
        <w:t xml:space="preserve">The </w:t>
      </w:r>
      <w:r w:rsidR="00D646BC" w:rsidRPr="00D646BC">
        <w:rPr>
          <w:rFonts w:ascii="TT1915Ao00" w:eastAsia="Cambria" w:hAnsi="TT1915Ao00" w:cs="TT1915Ao00"/>
          <w:color w:val="auto"/>
          <w:lang w:eastAsia="en-GB"/>
        </w:rPr>
        <w:t>i</w:t>
      </w:r>
      <w:r w:rsidRPr="00D646BC">
        <w:rPr>
          <w:rFonts w:ascii="TT1915Ao00" w:eastAsia="Cambria" w:hAnsi="TT1915Ao00" w:cs="TT1915Ao00"/>
          <w:color w:val="auto"/>
          <w:lang w:eastAsia="en-GB"/>
        </w:rPr>
        <w:t xml:space="preserve">ndividual </w:t>
      </w:r>
      <w:r w:rsidR="00D646BC" w:rsidRPr="00D646BC">
        <w:rPr>
          <w:rFonts w:ascii="TT1915Ao00" w:eastAsia="Cambria" w:hAnsi="TT1915Ao00" w:cs="TT1915Ao00"/>
          <w:color w:val="auto"/>
          <w:lang w:eastAsia="en-GB"/>
        </w:rPr>
        <w:t>e</w:t>
      </w:r>
      <w:r w:rsidRPr="00D646BC">
        <w:rPr>
          <w:rFonts w:ascii="TT1915Ao00" w:eastAsia="Cambria" w:hAnsi="TT1915Ao00" w:cs="TT1915Ao00"/>
          <w:color w:val="auto"/>
          <w:lang w:eastAsia="en-GB"/>
        </w:rPr>
        <w:t xml:space="preserve">mployer </w:t>
      </w:r>
      <w:r w:rsidR="00D646BC" w:rsidRPr="00D646BC">
        <w:rPr>
          <w:rFonts w:ascii="TT1915Ao00" w:eastAsia="Cambria" w:hAnsi="TT1915Ao00" w:cs="TT1915Ao00"/>
          <w:color w:val="auto"/>
          <w:lang w:eastAsia="en-GB"/>
        </w:rPr>
        <w:t>is required to</w:t>
      </w:r>
      <w:r w:rsidRPr="00D646BC">
        <w:rPr>
          <w:rFonts w:ascii="TT1915Do00" w:eastAsia="Cambria" w:hAnsi="TT1915Do00" w:cs="TT1915Do00"/>
          <w:color w:val="auto"/>
          <w:lang w:eastAsia="en-GB"/>
        </w:rPr>
        <w:t>:</w:t>
      </w:r>
    </w:p>
    <w:p w:rsidR="00612C1F" w:rsidRPr="00D646BC" w:rsidRDefault="00612C1F" w:rsidP="00D646BC">
      <w:pPr>
        <w:pStyle w:val="ListParagraph"/>
        <w:numPr>
          <w:ilvl w:val="0"/>
          <w:numId w:val="14"/>
        </w:numPr>
        <w:ind w:left="924" w:hanging="357"/>
        <w:contextualSpacing w:val="0"/>
        <w:jc w:val="left"/>
        <w:rPr>
          <w:rFonts w:ascii="TT1915Do00" w:eastAsia="Cambria" w:hAnsi="TT1915Do00" w:cs="TT1915Do00"/>
          <w:color w:val="auto"/>
          <w:lang w:eastAsia="en-GB"/>
        </w:rPr>
      </w:pPr>
      <w:r w:rsidRPr="00D646BC">
        <w:rPr>
          <w:rFonts w:ascii="TT1915Do00" w:eastAsia="Cambria" w:hAnsi="TT1915Do00" w:cs="TT1915Do00"/>
          <w:color w:val="auto"/>
          <w:lang w:eastAsia="en-GB"/>
        </w:rPr>
        <w:t>deduct contributions from employees’ pay correctly</w:t>
      </w:r>
    </w:p>
    <w:p w:rsidR="00612C1F" w:rsidRPr="00D646BC" w:rsidRDefault="00612C1F" w:rsidP="00D646BC">
      <w:pPr>
        <w:pStyle w:val="ListParagraph"/>
        <w:numPr>
          <w:ilvl w:val="0"/>
          <w:numId w:val="14"/>
        </w:numPr>
        <w:ind w:left="924" w:hanging="357"/>
        <w:contextualSpacing w:val="0"/>
        <w:jc w:val="left"/>
        <w:rPr>
          <w:rFonts w:ascii="TT1915Do00" w:eastAsia="Cambria" w:hAnsi="TT1915Do00" w:cs="TT1915Do00"/>
          <w:color w:val="auto"/>
          <w:lang w:eastAsia="en-GB"/>
        </w:rPr>
      </w:pPr>
      <w:r w:rsidRPr="00D646BC">
        <w:rPr>
          <w:rFonts w:ascii="TT1915Do00" w:eastAsia="Cambria" w:hAnsi="TT1915Do00" w:cs="TT1915Do00"/>
          <w:color w:val="auto"/>
          <w:lang w:eastAsia="en-GB"/>
        </w:rPr>
        <w:t>pay all contributions, including their own as determined by the actuary,</w:t>
      </w:r>
      <w:r w:rsidR="00C71979" w:rsidRPr="00D646BC">
        <w:rPr>
          <w:rFonts w:ascii="TT1915Do00" w:eastAsia="Cambria" w:hAnsi="TT1915Do00" w:cs="TT1915Do00"/>
          <w:color w:val="auto"/>
          <w:lang w:eastAsia="en-GB"/>
        </w:rPr>
        <w:t xml:space="preserve"> </w:t>
      </w:r>
      <w:r w:rsidRPr="00D646BC">
        <w:rPr>
          <w:rFonts w:ascii="TT1915Do00" w:eastAsia="Cambria" w:hAnsi="TT1915Do00" w:cs="TT1915Do00"/>
          <w:color w:val="auto"/>
          <w:lang w:eastAsia="en-GB"/>
        </w:rPr>
        <w:t>promptly by the due date</w:t>
      </w:r>
    </w:p>
    <w:p w:rsidR="00D646BC" w:rsidRPr="00D646BC" w:rsidRDefault="00D646BC" w:rsidP="00D646BC">
      <w:pPr>
        <w:pStyle w:val="ListParagraph"/>
        <w:numPr>
          <w:ilvl w:val="0"/>
          <w:numId w:val="14"/>
        </w:numPr>
        <w:ind w:left="924" w:hanging="357"/>
        <w:contextualSpacing w:val="0"/>
        <w:jc w:val="left"/>
        <w:rPr>
          <w:rFonts w:ascii="TT1915Do00" w:eastAsia="Cambria" w:hAnsi="TT1915Do00" w:cs="TT1915Do00"/>
          <w:color w:val="auto"/>
          <w:lang w:eastAsia="en-GB"/>
        </w:rPr>
      </w:pPr>
      <w:r w:rsidRPr="00D646BC">
        <w:rPr>
          <w:rFonts w:ascii="TT1915Do00" w:eastAsia="Cambria" w:hAnsi="TT1915Do00" w:cs="TT1915Do00"/>
          <w:color w:val="auto"/>
          <w:lang w:eastAsia="en-GB"/>
        </w:rPr>
        <w:t>develop a policy on certain discretions and exercise those discretions as permitted within the regulatory framework</w:t>
      </w:r>
    </w:p>
    <w:p w:rsidR="00612C1F" w:rsidRPr="00D646BC" w:rsidRDefault="00612C1F" w:rsidP="00D646BC">
      <w:pPr>
        <w:pStyle w:val="ListParagraph"/>
        <w:numPr>
          <w:ilvl w:val="0"/>
          <w:numId w:val="14"/>
        </w:numPr>
        <w:ind w:left="924" w:hanging="357"/>
        <w:contextualSpacing w:val="0"/>
        <w:jc w:val="left"/>
        <w:rPr>
          <w:rFonts w:ascii="TT1915Do00" w:eastAsia="Cambria" w:hAnsi="TT1915Do00" w:cs="TT1915Do00"/>
          <w:color w:val="auto"/>
          <w:lang w:eastAsia="en-GB"/>
        </w:rPr>
      </w:pPr>
      <w:r w:rsidRPr="00D646BC">
        <w:rPr>
          <w:rFonts w:ascii="TT1915Do00" w:eastAsia="Cambria" w:hAnsi="TT1915Do00" w:cs="TT1915Do00"/>
          <w:color w:val="auto"/>
          <w:lang w:eastAsia="en-GB"/>
        </w:rPr>
        <w:t>make additional contributions in accordance with agreed arrangements in</w:t>
      </w:r>
      <w:r w:rsidR="00C71979" w:rsidRPr="00D646BC">
        <w:rPr>
          <w:rFonts w:ascii="TT1915Do00" w:eastAsia="Cambria" w:hAnsi="TT1915Do00" w:cs="TT1915Do00"/>
          <w:color w:val="auto"/>
          <w:lang w:eastAsia="en-GB"/>
        </w:rPr>
        <w:t xml:space="preserve"> </w:t>
      </w:r>
      <w:r w:rsidRPr="00D646BC">
        <w:rPr>
          <w:rFonts w:ascii="TT1915Do00" w:eastAsia="Cambria" w:hAnsi="TT1915Do00" w:cs="TT1915Do00"/>
          <w:color w:val="auto"/>
          <w:lang w:eastAsia="en-GB"/>
        </w:rPr>
        <w:t>respect of, for example, augmentation of scheme benefits, early retirement</w:t>
      </w:r>
      <w:r w:rsidR="00C71979" w:rsidRPr="00D646BC">
        <w:rPr>
          <w:rFonts w:ascii="TT1915Do00" w:eastAsia="Cambria" w:hAnsi="TT1915Do00" w:cs="TT1915Do00"/>
          <w:color w:val="auto"/>
          <w:lang w:eastAsia="en-GB"/>
        </w:rPr>
        <w:t xml:space="preserve"> </w:t>
      </w:r>
      <w:r w:rsidRPr="00D646BC">
        <w:rPr>
          <w:rFonts w:ascii="TT1915Do00" w:eastAsia="Cambria" w:hAnsi="TT1915Do00" w:cs="TT1915Do00"/>
          <w:color w:val="auto"/>
          <w:lang w:eastAsia="en-GB"/>
        </w:rPr>
        <w:t>strain, and</w:t>
      </w:r>
    </w:p>
    <w:p w:rsidR="00612C1F" w:rsidRPr="00D646BC" w:rsidRDefault="00612C1F" w:rsidP="00D646BC">
      <w:pPr>
        <w:pStyle w:val="ListParagraph"/>
        <w:numPr>
          <w:ilvl w:val="0"/>
          <w:numId w:val="14"/>
        </w:numPr>
        <w:ind w:left="924" w:hanging="357"/>
        <w:contextualSpacing w:val="0"/>
        <w:jc w:val="left"/>
        <w:rPr>
          <w:rFonts w:ascii="TT1915Do00" w:eastAsia="Cambria" w:hAnsi="TT1915Do00" w:cs="TT1915Do00"/>
          <w:color w:val="auto"/>
          <w:lang w:eastAsia="en-GB"/>
        </w:rPr>
      </w:pPr>
      <w:r w:rsidRPr="00D646BC">
        <w:rPr>
          <w:rFonts w:ascii="TT1915Do00" w:eastAsia="Cambria" w:hAnsi="TT1915Do00" w:cs="TT1915Do00"/>
          <w:color w:val="auto"/>
          <w:lang w:eastAsia="en-GB"/>
        </w:rPr>
        <w:t xml:space="preserve">notify the </w:t>
      </w:r>
      <w:r w:rsidR="00D646BC" w:rsidRPr="00D646BC">
        <w:rPr>
          <w:rFonts w:ascii="TT1915Do00" w:eastAsia="Cambria" w:hAnsi="TT1915Do00" w:cs="TT1915Do00"/>
          <w:color w:val="auto"/>
          <w:lang w:eastAsia="en-GB"/>
        </w:rPr>
        <w:t>a</w:t>
      </w:r>
      <w:r w:rsidRPr="00D646BC">
        <w:rPr>
          <w:rFonts w:ascii="TT1915Do00" w:eastAsia="Cambria" w:hAnsi="TT1915Do00" w:cs="TT1915Do00"/>
          <w:color w:val="auto"/>
          <w:lang w:eastAsia="en-GB"/>
        </w:rPr>
        <w:t xml:space="preserve">dministering </w:t>
      </w:r>
      <w:r w:rsidR="00D646BC" w:rsidRPr="00D646BC">
        <w:rPr>
          <w:rFonts w:ascii="TT1915Do00" w:eastAsia="Cambria" w:hAnsi="TT1915Do00" w:cs="TT1915Do00"/>
          <w:color w:val="auto"/>
          <w:lang w:eastAsia="en-GB"/>
        </w:rPr>
        <w:t>a</w:t>
      </w:r>
      <w:r w:rsidRPr="00D646BC">
        <w:rPr>
          <w:rFonts w:ascii="TT1915Do00" w:eastAsia="Cambria" w:hAnsi="TT1915Do00" w:cs="TT1915Do00"/>
          <w:color w:val="auto"/>
          <w:lang w:eastAsia="en-GB"/>
        </w:rPr>
        <w:t xml:space="preserve">uthority promptly of all changes to </w:t>
      </w:r>
      <w:r w:rsidR="00D646BC" w:rsidRPr="00D646BC">
        <w:rPr>
          <w:rFonts w:ascii="TT1915Do00" w:eastAsia="Cambria" w:hAnsi="TT1915Do00" w:cs="TT1915Do00"/>
          <w:color w:val="auto"/>
          <w:lang w:eastAsia="en-GB"/>
        </w:rPr>
        <w:t xml:space="preserve">active </w:t>
      </w:r>
      <w:r w:rsidRPr="00D646BC">
        <w:rPr>
          <w:rFonts w:ascii="TT1915Do00" w:eastAsia="Cambria" w:hAnsi="TT1915Do00" w:cs="TT1915Do00"/>
          <w:color w:val="auto"/>
          <w:lang w:eastAsia="en-GB"/>
        </w:rPr>
        <w:t xml:space="preserve">membership </w:t>
      </w:r>
      <w:r w:rsidR="00D646BC" w:rsidRPr="00D646BC">
        <w:rPr>
          <w:rFonts w:ascii="TT1915Do00" w:eastAsia="Cambria" w:hAnsi="TT1915Do00" w:cs="TT1915Do00"/>
          <w:color w:val="auto"/>
          <w:lang w:eastAsia="en-GB"/>
        </w:rPr>
        <w:t>which affect future funding</w:t>
      </w:r>
      <w:r w:rsidRPr="00D646BC">
        <w:rPr>
          <w:rFonts w:ascii="TT1915Do00" w:eastAsia="Cambria" w:hAnsi="TT1915Do00" w:cs="TT1915Do00"/>
          <w:color w:val="auto"/>
          <w:lang w:eastAsia="en-GB"/>
        </w:rPr>
        <w:t>.</w:t>
      </w:r>
    </w:p>
    <w:p w:rsidR="00612C1F" w:rsidRPr="006851D4" w:rsidRDefault="00612C1F" w:rsidP="003022F2">
      <w:pPr>
        <w:jc w:val="left"/>
        <w:rPr>
          <w:rFonts w:ascii="TT1915Do00" w:eastAsia="Cambria" w:hAnsi="TT1915Do00" w:cs="TT1915Do00"/>
          <w:color w:val="auto"/>
          <w:lang w:eastAsia="en-GB"/>
        </w:rPr>
      </w:pPr>
      <w:r w:rsidRPr="006851D4">
        <w:rPr>
          <w:rFonts w:ascii="TT1915Ao00" w:eastAsia="Cambria" w:hAnsi="TT1915Ao00" w:cs="TT1915Ao00"/>
          <w:color w:val="auto"/>
          <w:lang w:eastAsia="en-GB"/>
        </w:rPr>
        <w:lastRenderedPageBreak/>
        <w:t xml:space="preserve">The </w:t>
      </w:r>
      <w:r w:rsidR="00D646BC" w:rsidRPr="006851D4">
        <w:rPr>
          <w:rFonts w:ascii="TT1915Ao00" w:eastAsia="Cambria" w:hAnsi="TT1915Ao00" w:cs="TT1915Ao00"/>
          <w:color w:val="auto"/>
          <w:lang w:eastAsia="en-GB"/>
        </w:rPr>
        <w:t>f</w:t>
      </w:r>
      <w:r w:rsidRPr="006851D4">
        <w:rPr>
          <w:rFonts w:ascii="TT1915Ao00" w:eastAsia="Cambria" w:hAnsi="TT1915Ao00" w:cs="TT1915Ao00"/>
          <w:color w:val="auto"/>
          <w:lang w:eastAsia="en-GB"/>
        </w:rPr>
        <w:t xml:space="preserve">und actuary </w:t>
      </w:r>
      <w:r w:rsidRPr="006851D4">
        <w:rPr>
          <w:rFonts w:ascii="TT1915Do00" w:eastAsia="Cambria" w:hAnsi="TT1915Do00" w:cs="TT1915Do00"/>
          <w:color w:val="auto"/>
          <w:lang w:eastAsia="en-GB"/>
        </w:rPr>
        <w:t>should:</w:t>
      </w:r>
    </w:p>
    <w:p w:rsidR="00612C1F" w:rsidRPr="006851D4" w:rsidRDefault="00612C1F" w:rsidP="003022F2">
      <w:pPr>
        <w:pStyle w:val="ListParagraph"/>
        <w:numPr>
          <w:ilvl w:val="0"/>
          <w:numId w:val="14"/>
        </w:numPr>
        <w:ind w:left="924" w:hanging="357"/>
        <w:contextualSpacing w:val="0"/>
        <w:jc w:val="left"/>
        <w:rPr>
          <w:rFonts w:ascii="TT1915Do00" w:eastAsia="Cambria" w:hAnsi="TT1915Do00" w:cs="TT1915Do00"/>
          <w:color w:val="auto"/>
          <w:lang w:eastAsia="en-GB"/>
        </w:rPr>
      </w:pPr>
      <w:r w:rsidRPr="006851D4">
        <w:rPr>
          <w:rFonts w:ascii="TT1915Do00" w:eastAsia="Cambria" w:hAnsi="TT1915Do00" w:cs="TT1915Do00"/>
          <w:color w:val="auto"/>
          <w:lang w:eastAsia="en-GB"/>
        </w:rPr>
        <w:t xml:space="preserve">prepare valuations including the setting of employers’ contribution rates </w:t>
      </w:r>
      <w:r w:rsidR="003022F2" w:rsidRPr="006851D4">
        <w:rPr>
          <w:rFonts w:ascii="TT1915Do00" w:eastAsia="Cambria" w:hAnsi="TT1915Do00" w:cs="TT1915Do00"/>
          <w:color w:val="auto"/>
          <w:lang w:eastAsia="en-GB"/>
        </w:rPr>
        <w:t xml:space="preserve">at a level to ensure fund solvency </w:t>
      </w:r>
      <w:r w:rsidRPr="006851D4">
        <w:rPr>
          <w:rFonts w:ascii="TT1915Do00" w:eastAsia="Cambria" w:hAnsi="TT1915Do00" w:cs="TT1915Do00"/>
          <w:color w:val="auto"/>
          <w:lang w:eastAsia="en-GB"/>
        </w:rPr>
        <w:t>after</w:t>
      </w:r>
      <w:r w:rsidR="00C71979" w:rsidRPr="006851D4">
        <w:rPr>
          <w:rFonts w:ascii="TT1915Do00" w:eastAsia="Cambria" w:hAnsi="TT1915Do00" w:cs="TT1915Do00"/>
          <w:color w:val="auto"/>
          <w:lang w:eastAsia="en-GB"/>
        </w:rPr>
        <w:t xml:space="preserve"> </w:t>
      </w:r>
      <w:r w:rsidRPr="006851D4">
        <w:rPr>
          <w:rFonts w:ascii="TT1915Do00" w:eastAsia="Cambria" w:hAnsi="TT1915Do00" w:cs="TT1915Do00"/>
          <w:color w:val="auto"/>
          <w:lang w:eastAsia="en-GB"/>
        </w:rPr>
        <w:t xml:space="preserve">agreeing assumptions with the </w:t>
      </w:r>
      <w:r w:rsidR="003022F2" w:rsidRPr="006851D4">
        <w:rPr>
          <w:rFonts w:ascii="TT1915Do00" w:eastAsia="Cambria" w:hAnsi="TT1915Do00" w:cs="TT1915Do00"/>
          <w:color w:val="auto"/>
          <w:lang w:eastAsia="en-GB"/>
        </w:rPr>
        <w:t>a</w:t>
      </w:r>
      <w:r w:rsidRPr="006851D4">
        <w:rPr>
          <w:rFonts w:ascii="TT1915Do00" w:eastAsia="Cambria" w:hAnsi="TT1915Do00" w:cs="TT1915Do00"/>
          <w:color w:val="auto"/>
          <w:lang w:eastAsia="en-GB"/>
        </w:rPr>
        <w:t xml:space="preserve">dministering </w:t>
      </w:r>
      <w:r w:rsidR="003022F2" w:rsidRPr="006851D4">
        <w:rPr>
          <w:rFonts w:ascii="TT1915Do00" w:eastAsia="Cambria" w:hAnsi="TT1915Do00" w:cs="TT1915Do00"/>
          <w:color w:val="auto"/>
          <w:lang w:eastAsia="en-GB"/>
        </w:rPr>
        <w:t>a</w:t>
      </w:r>
      <w:r w:rsidRPr="006851D4">
        <w:rPr>
          <w:rFonts w:ascii="TT1915Do00" w:eastAsia="Cambria" w:hAnsi="TT1915Do00" w:cs="TT1915Do00"/>
          <w:color w:val="auto"/>
          <w:lang w:eastAsia="en-GB"/>
        </w:rPr>
        <w:t>uthority and having regard to the</w:t>
      </w:r>
      <w:r w:rsidR="00C71979" w:rsidRPr="006851D4">
        <w:rPr>
          <w:rFonts w:ascii="TT1915Do00" w:eastAsia="Cambria" w:hAnsi="TT1915Do00" w:cs="TT1915Do00"/>
          <w:color w:val="auto"/>
          <w:lang w:eastAsia="en-GB"/>
        </w:rPr>
        <w:t xml:space="preserve"> </w:t>
      </w:r>
      <w:r w:rsidRPr="006851D4">
        <w:rPr>
          <w:rFonts w:ascii="TT1915Do00" w:eastAsia="Cambria" w:hAnsi="TT1915Do00" w:cs="TT1915Do00"/>
          <w:color w:val="auto"/>
          <w:lang w:eastAsia="en-GB"/>
        </w:rPr>
        <w:t>Funding Strategy Statement</w:t>
      </w:r>
      <w:r w:rsidR="003022F2" w:rsidRPr="006851D4">
        <w:rPr>
          <w:rFonts w:ascii="TT1915Do00" w:eastAsia="Cambria" w:hAnsi="TT1915Do00" w:cs="TT1915Do00"/>
          <w:color w:val="auto"/>
          <w:lang w:eastAsia="en-GB"/>
        </w:rPr>
        <w:t xml:space="preserve"> and LGPS Regulations</w:t>
      </w:r>
    </w:p>
    <w:p w:rsidR="00612C1F" w:rsidRPr="006851D4" w:rsidRDefault="00612C1F" w:rsidP="003022F2">
      <w:pPr>
        <w:pStyle w:val="ListParagraph"/>
        <w:numPr>
          <w:ilvl w:val="0"/>
          <w:numId w:val="14"/>
        </w:numPr>
        <w:ind w:left="924" w:hanging="357"/>
        <w:contextualSpacing w:val="0"/>
        <w:jc w:val="left"/>
        <w:rPr>
          <w:rFonts w:ascii="TT1915Do00" w:eastAsia="Cambria" w:hAnsi="TT1915Do00" w:cs="TT1915Do00"/>
          <w:color w:val="auto"/>
          <w:lang w:eastAsia="en-GB"/>
        </w:rPr>
      </w:pPr>
      <w:r w:rsidRPr="006851D4">
        <w:rPr>
          <w:rFonts w:ascii="TT1915Do00" w:eastAsia="Cambria" w:hAnsi="TT1915Do00" w:cs="TT1915Do00"/>
          <w:color w:val="auto"/>
          <w:lang w:eastAsia="en-GB"/>
        </w:rPr>
        <w:t>prepare advice and calculations in connection with bulk transfers and individual</w:t>
      </w:r>
      <w:r w:rsidR="003022F2" w:rsidRPr="006851D4">
        <w:rPr>
          <w:rFonts w:ascii="TT1915Do00" w:eastAsia="Cambria" w:hAnsi="TT1915Do00" w:cs="TT1915Do00"/>
          <w:color w:val="auto"/>
          <w:lang w:eastAsia="en-GB"/>
        </w:rPr>
        <w:t xml:space="preserve"> </w:t>
      </w:r>
      <w:r w:rsidRPr="006851D4">
        <w:rPr>
          <w:rFonts w:ascii="TT1915Do00" w:eastAsia="Cambria" w:hAnsi="TT1915Do00" w:cs="TT1915Do00"/>
          <w:color w:val="auto"/>
          <w:lang w:eastAsia="en-GB"/>
        </w:rPr>
        <w:t>benefit-related matters</w:t>
      </w:r>
      <w:r w:rsidR="003022F2" w:rsidRPr="006851D4">
        <w:rPr>
          <w:rFonts w:ascii="TT1915Do00" w:eastAsia="Cambria" w:hAnsi="TT1915Do00" w:cs="TT1915Do00"/>
          <w:color w:val="auto"/>
          <w:lang w:eastAsia="en-GB"/>
        </w:rPr>
        <w:t xml:space="preserve"> such as pension strain costs, ill-health retirement costs, compensatory added years costs, etc</w:t>
      </w:r>
    </w:p>
    <w:p w:rsidR="00612C1F" w:rsidRPr="006851D4" w:rsidRDefault="003022F2" w:rsidP="003022F2">
      <w:pPr>
        <w:pStyle w:val="ListParagraph"/>
        <w:numPr>
          <w:ilvl w:val="0"/>
          <w:numId w:val="14"/>
        </w:numPr>
        <w:ind w:left="924" w:hanging="357"/>
        <w:contextualSpacing w:val="0"/>
        <w:jc w:val="left"/>
        <w:rPr>
          <w:rFonts w:ascii="TT1915Do00" w:eastAsia="Cambria" w:hAnsi="TT1915Do00" w:cs="TT1915Do00"/>
          <w:color w:val="auto"/>
          <w:lang w:eastAsia="en-GB"/>
        </w:rPr>
      </w:pPr>
      <w:r w:rsidRPr="006851D4">
        <w:rPr>
          <w:rFonts w:ascii="TT1915Eo00" w:eastAsia="Cambria" w:hAnsi="TT1915Eo00" w:cs="TT1915Eo00"/>
          <w:color w:val="auto"/>
          <w:lang w:eastAsia="en-GB"/>
        </w:rPr>
        <w:t>provide advice and valuations on the termination of admission agreements</w:t>
      </w:r>
    </w:p>
    <w:p w:rsidR="003022F2" w:rsidRPr="003022F2" w:rsidRDefault="003022F2" w:rsidP="003022F2">
      <w:pPr>
        <w:pStyle w:val="ListParagraph"/>
        <w:numPr>
          <w:ilvl w:val="0"/>
          <w:numId w:val="14"/>
        </w:numPr>
        <w:ind w:left="924" w:hanging="357"/>
        <w:contextualSpacing w:val="0"/>
        <w:jc w:val="left"/>
        <w:rPr>
          <w:rFonts w:ascii="TT1915Do00" w:eastAsia="Cambria" w:hAnsi="TT1915Do00" w:cs="TT1915Do00"/>
          <w:color w:val="auto"/>
          <w:lang w:eastAsia="en-GB"/>
        </w:rPr>
      </w:pPr>
      <w:r w:rsidRPr="003022F2">
        <w:rPr>
          <w:rFonts w:ascii="TT1915Eo00" w:eastAsia="Cambria" w:hAnsi="TT1915Eo00" w:cs="TT1915Eo00"/>
          <w:color w:val="auto"/>
          <w:lang w:eastAsia="en-GB"/>
        </w:rPr>
        <w:t>provide advice to the administering authority on bonds or other forms of security against the financial effect on the fund of employer default</w:t>
      </w:r>
    </w:p>
    <w:p w:rsidR="003022F2" w:rsidRPr="003022F2" w:rsidRDefault="003022F2" w:rsidP="003022F2">
      <w:pPr>
        <w:pStyle w:val="ListParagraph"/>
        <w:numPr>
          <w:ilvl w:val="0"/>
          <w:numId w:val="14"/>
        </w:numPr>
        <w:ind w:left="924" w:hanging="357"/>
        <w:contextualSpacing w:val="0"/>
        <w:jc w:val="left"/>
        <w:rPr>
          <w:rFonts w:ascii="TT1915Do00" w:eastAsia="Cambria" w:hAnsi="TT1915Do00" w:cs="TT1915Do00"/>
          <w:color w:val="auto"/>
          <w:lang w:eastAsia="en-GB"/>
        </w:rPr>
      </w:pPr>
      <w:r w:rsidRPr="003022F2">
        <w:rPr>
          <w:rFonts w:ascii="TT1915Eo00" w:eastAsia="Cambria" w:hAnsi="TT1915Eo00" w:cs="TT1915Eo00"/>
          <w:color w:val="auto"/>
          <w:lang w:eastAsia="en-GB"/>
        </w:rPr>
        <w:t>assist the administering authority in assessing whether employer contributions need to be revised between valuations as required by the regulations</w:t>
      </w:r>
    </w:p>
    <w:p w:rsidR="003022F2" w:rsidRPr="003022F2" w:rsidRDefault="003022F2" w:rsidP="003022F2">
      <w:pPr>
        <w:pStyle w:val="ListParagraph"/>
        <w:numPr>
          <w:ilvl w:val="0"/>
          <w:numId w:val="14"/>
        </w:numPr>
        <w:ind w:left="924" w:hanging="357"/>
        <w:contextualSpacing w:val="0"/>
        <w:jc w:val="left"/>
        <w:rPr>
          <w:rFonts w:ascii="TT1915Do00" w:eastAsia="Cambria" w:hAnsi="TT1915Do00" w:cs="TT1915Do00"/>
          <w:color w:val="auto"/>
          <w:lang w:eastAsia="en-GB"/>
        </w:rPr>
      </w:pPr>
      <w:r w:rsidRPr="003022F2">
        <w:rPr>
          <w:rFonts w:ascii="TT1915Do00" w:eastAsia="Cambria" w:hAnsi="TT1915Do00" w:cs="TT1915Do00"/>
          <w:color w:val="auto"/>
          <w:lang w:eastAsia="en-GB"/>
        </w:rPr>
        <w:t>ensure that the administering authority is aware of any professional guidance or other professional requirements which may be of relevance to his or her role in advising the fund.</w:t>
      </w:r>
    </w:p>
    <w:p w:rsidR="00C71979" w:rsidRPr="001A3B25" w:rsidRDefault="00C71979" w:rsidP="00612C1F">
      <w:pPr>
        <w:spacing w:after="0"/>
        <w:jc w:val="left"/>
        <w:rPr>
          <w:rFonts w:eastAsia="Cambria" w:cs="Arial"/>
          <w:color w:val="auto"/>
          <w:sz w:val="28"/>
          <w:szCs w:val="28"/>
          <w:lang w:eastAsia="en-GB"/>
        </w:rPr>
      </w:pPr>
    </w:p>
    <w:p w:rsidR="00C71979" w:rsidRPr="001A3B25" w:rsidRDefault="00C71979" w:rsidP="00612C1F">
      <w:pPr>
        <w:spacing w:after="0"/>
        <w:jc w:val="left"/>
        <w:rPr>
          <w:rFonts w:eastAsia="Cambria" w:cs="Arial"/>
          <w:color w:val="auto"/>
          <w:sz w:val="28"/>
          <w:szCs w:val="28"/>
          <w:lang w:eastAsia="en-GB"/>
        </w:rPr>
      </w:pPr>
    </w:p>
    <w:p w:rsidR="00612C1F" w:rsidRPr="001A3B25" w:rsidRDefault="00612C1F" w:rsidP="00612C1F">
      <w:pPr>
        <w:spacing w:after="0"/>
        <w:jc w:val="left"/>
        <w:rPr>
          <w:rFonts w:ascii="TT1915Do00" w:eastAsia="Cambria" w:hAnsi="TT1915Do00" w:cs="TT1915Do00"/>
          <w:b/>
          <w:color w:val="auto"/>
          <w:lang w:eastAsia="en-GB"/>
        </w:rPr>
      </w:pPr>
      <w:r w:rsidRPr="001A3B25">
        <w:rPr>
          <w:rFonts w:ascii="TT1915Do00" w:eastAsia="Cambria" w:hAnsi="TT1915Do00" w:cs="TT1915Do00"/>
          <w:b/>
          <w:color w:val="auto"/>
          <w:lang w:eastAsia="en-GB"/>
        </w:rPr>
        <w:t>5. Solvency issues and target funding levels</w:t>
      </w:r>
    </w:p>
    <w:p w:rsidR="00C71979" w:rsidRPr="00D43A66" w:rsidRDefault="00C71979" w:rsidP="00612C1F">
      <w:pPr>
        <w:spacing w:after="0"/>
        <w:jc w:val="left"/>
        <w:rPr>
          <w:rFonts w:ascii="TT1915Ao00" w:eastAsia="Cambria" w:hAnsi="TT1915Ao00" w:cs="TT1915Ao00"/>
          <w:color w:val="auto"/>
          <w:lang w:eastAsia="en-GB"/>
        </w:rPr>
      </w:pPr>
    </w:p>
    <w:p w:rsidR="001A3B25" w:rsidRPr="00D43A66" w:rsidRDefault="00502AA2" w:rsidP="00612C1F">
      <w:pPr>
        <w:spacing w:after="0"/>
        <w:jc w:val="left"/>
        <w:rPr>
          <w:rFonts w:ascii="TT1915Ao00" w:eastAsia="Cambria" w:hAnsi="TT1915Ao00" w:cs="TT1915Ao00"/>
          <w:color w:val="auto"/>
          <w:lang w:eastAsia="en-GB"/>
        </w:rPr>
      </w:pPr>
      <w:r w:rsidRPr="00D43A66">
        <w:rPr>
          <w:rFonts w:ascii="TT1915Ao00" w:eastAsia="Cambria" w:hAnsi="TT1915Ao00" w:cs="TT1915Ao00"/>
          <w:color w:val="auto"/>
          <w:lang w:eastAsia="en-GB"/>
        </w:rPr>
        <w:t>Including income received from investments, t</w:t>
      </w:r>
      <w:r w:rsidR="001A3B25" w:rsidRPr="00D43A66">
        <w:rPr>
          <w:rFonts w:ascii="TT1915Ao00" w:eastAsia="Cambria" w:hAnsi="TT1915Ao00" w:cs="TT1915Ao00"/>
          <w:color w:val="auto"/>
          <w:lang w:eastAsia="en-GB"/>
        </w:rPr>
        <w:t>he Fund currently has a strong net cash inflow and can, therefore, take a medium to long-term view on determining employing body contribution rates to meet future liabilities through operating a fund with an investment strategy that reflects this long-term view. It allows short-term investment market volatility to be managed so as not to cause volatility in employing body contribution rates.</w:t>
      </w:r>
    </w:p>
    <w:p w:rsidR="001A3B25" w:rsidRPr="00D43A66" w:rsidRDefault="001A3B25" w:rsidP="00612C1F">
      <w:pPr>
        <w:spacing w:after="0"/>
        <w:jc w:val="left"/>
        <w:rPr>
          <w:rFonts w:ascii="TT1915Ao00" w:eastAsia="Cambria" w:hAnsi="TT1915Ao00" w:cs="TT1915Ao00"/>
          <w:color w:val="auto"/>
          <w:lang w:eastAsia="en-GB"/>
        </w:rPr>
      </w:pPr>
    </w:p>
    <w:p w:rsidR="001A3B25" w:rsidRPr="00D43A66" w:rsidRDefault="002D1BFC" w:rsidP="00612C1F">
      <w:pPr>
        <w:spacing w:after="0"/>
        <w:jc w:val="left"/>
        <w:rPr>
          <w:rFonts w:ascii="TT1915Ao00" w:eastAsia="Cambria" w:hAnsi="TT1915Ao00" w:cs="TT1915Ao00"/>
          <w:color w:val="auto"/>
          <w:lang w:eastAsia="en-GB"/>
        </w:rPr>
      </w:pPr>
      <w:r w:rsidRPr="00D43A66">
        <w:rPr>
          <w:rFonts w:ascii="TT1915Ao00" w:eastAsia="Cambria" w:hAnsi="TT1915Ao00" w:cs="TT1915Ao00"/>
          <w:color w:val="auto"/>
          <w:lang w:eastAsia="en-GB"/>
        </w:rPr>
        <w:t>The Fund recognises the different characteristics of the variety of participating employer organisations, and will set funding strategy appropriately having regard to factors such as:</w:t>
      </w:r>
    </w:p>
    <w:p w:rsidR="002D1BFC" w:rsidRPr="00D43A66" w:rsidRDefault="002D1BFC" w:rsidP="00612C1F">
      <w:pPr>
        <w:spacing w:after="0"/>
        <w:jc w:val="left"/>
        <w:rPr>
          <w:rFonts w:ascii="TT1915Ao00" w:eastAsia="Cambria" w:hAnsi="TT1915Ao00" w:cs="TT1915Ao00"/>
          <w:color w:val="auto"/>
          <w:lang w:eastAsia="en-GB"/>
        </w:rPr>
      </w:pPr>
    </w:p>
    <w:p w:rsidR="002D1BFC" w:rsidRPr="00D43A66" w:rsidRDefault="002D1BFC" w:rsidP="002D1BFC">
      <w:pPr>
        <w:pStyle w:val="ListParagraph"/>
        <w:numPr>
          <w:ilvl w:val="0"/>
          <w:numId w:val="14"/>
        </w:numPr>
        <w:ind w:left="924" w:hanging="357"/>
        <w:contextualSpacing w:val="0"/>
        <w:jc w:val="left"/>
        <w:rPr>
          <w:rFonts w:ascii="TT1915Ao00" w:eastAsia="Cambria" w:hAnsi="TT1915Ao00" w:cs="TT1915Ao00"/>
          <w:color w:val="auto"/>
          <w:lang w:eastAsia="en-GB"/>
        </w:rPr>
      </w:pPr>
      <w:r w:rsidRPr="00D43A66">
        <w:rPr>
          <w:rFonts w:ascii="TT1915Ao00" w:eastAsia="Cambria" w:hAnsi="TT1915Ao00" w:cs="TT1915Ao00"/>
          <w:color w:val="auto"/>
          <w:lang w:eastAsia="en-GB"/>
        </w:rPr>
        <w:t>strength of covenant, and security of future income streams;</w:t>
      </w:r>
    </w:p>
    <w:p w:rsidR="002D1BFC" w:rsidRPr="00D43A66" w:rsidRDefault="002D1BFC" w:rsidP="002D1BFC">
      <w:pPr>
        <w:pStyle w:val="ListParagraph"/>
        <w:numPr>
          <w:ilvl w:val="0"/>
          <w:numId w:val="14"/>
        </w:numPr>
        <w:ind w:left="924" w:hanging="357"/>
        <w:contextualSpacing w:val="0"/>
        <w:jc w:val="left"/>
        <w:rPr>
          <w:rFonts w:ascii="TT1915Ao00" w:eastAsia="Cambria" w:hAnsi="TT1915Ao00" w:cs="TT1915Ao00"/>
          <w:color w:val="auto"/>
          <w:lang w:eastAsia="en-GB"/>
        </w:rPr>
      </w:pPr>
      <w:r w:rsidRPr="00D43A66">
        <w:rPr>
          <w:rFonts w:ascii="TT1915Ao00" w:eastAsia="Cambria" w:hAnsi="TT1915Ao00" w:cs="TT1915Ao00"/>
          <w:color w:val="auto"/>
          <w:lang w:eastAsia="en-GB"/>
        </w:rPr>
        <w:t xml:space="preserve">support or guarantor arrangements from </w:t>
      </w:r>
      <w:r w:rsidR="000D4873">
        <w:rPr>
          <w:rFonts w:ascii="TT1915Ao00" w:eastAsia="Cambria" w:hAnsi="TT1915Ao00" w:cs="TT1915Ao00"/>
          <w:color w:val="auto"/>
          <w:lang w:eastAsia="en-GB"/>
        </w:rPr>
        <w:t xml:space="preserve">other </w:t>
      </w:r>
      <w:r w:rsidRPr="00D43A66">
        <w:rPr>
          <w:rFonts w:ascii="TT1915Ao00" w:eastAsia="Cambria" w:hAnsi="TT1915Ao00" w:cs="TT1915Ao00"/>
          <w:color w:val="auto"/>
          <w:lang w:eastAsia="en-GB"/>
        </w:rPr>
        <w:t>Scheme employers</w:t>
      </w:r>
      <w:r w:rsidR="000D4873">
        <w:rPr>
          <w:rFonts w:ascii="TT1915Ao00" w:eastAsia="Cambria" w:hAnsi="TT1915Ao00" w:cs="TT1915Ao00"/>
          <w:color w:val="auto"/>
          <w:lang w:eastAsia="en-GB"/>
        </w:rPr>
        <w:t>, particularly those with tax raising powers</w:t>
      </w:r>
      <w:r w:rsidRPr="00D43A66">
        <w:rPr>
          <w:rFonts w:ascii="TT1915Ao00" w:eastAsia="Cambria" w:hAnsi="TT1915Ao00" w:cs="TT1915Ao00"/>
          <w:color w:val="auto"/>
          <w:lang w:eastAsia="en-GB"/>
        </w:rPr>
        <w:t>;</w:t>
      </w:r>
    </w:p>
    <w:p w:rsidR="002D1BFC" w:rsidRPr="00D43A66" w:rsidRDefault="002D1BFC" w:rsidP="002D1BFC">
      <w:pPr>
        <w:pStyle w:val="ListParagraph"/>
        <w:numPr>
          <w:ilvl w:val="0"/>
          <w:numId w:val="14"/>
        </w:numPr>
        <w:ind w:left="924" w:hanging="357"/>
        <w:contextualSpacing w:val="0"/>
        <w:jc w:val="left"/>
        <w:rPr>
          <w:rFonts w:ascii="TT1915Ao00" w:eastAsia="Cambria" w:hAnsi="TT1915Ao00" w:cs="TT1915Ao00"/>
          <w:color w:val="auto"/>
          <w:lang w:eastAsia="en-GB"/>
        </w:rPr>
      </w:pPr>
      <w:r w:rsidRPr="00D43A66">
        <w:rPr>
          <w:rFonts w:ascii="TT1915Ao00" w:eastAsia="Cambria" w:hAnsi="TT1915Ao00" w:cs="TT1915Ao00"/>
          <w:color w:val="auto"/>
          <w:lang w:eastAsia="en-GB"/>
        </w:rPr>
        <w:t>prospective period of participation in the Fund, and specifically the implications if the employer has closed membership of the scheme to new employees.</w:t>
      </w:r>
    </w:p>
    <w:p w:rsidR="001A3B25" w:rsidRDefault="002D1BFC" w:rsidP="00612C1F">
      <w:pPr>
        <w:spacing w:after="0"/>
        <w:jc w:val="left"/>
        <w:rPr>
          <w:rFonts w:ascii="TT1915Ao00" w:eastAsia="Cambria" w:hAnsi="TT1915Ao00" w:cs="TT1915Ao00"/>
          <w:color w:val="auto"/>
          <w:lang w:eastAsia="en-GB"/>
        </w:rPr>
      </w:pPr>
      <w:r w:rsidRPr="00D43A66">
        <w:rPr>
          <w:rFonts w:ascii="TT1915Ao00" w:eastAsia="Cambria" w:hAnsi="TT1915Ao00" w:cs="TT1915Ao00"/>
          <w:color w:val="auto"/>
          <w:lang w:eastAsia="en-GB"/>
        </w:rPr>
        <w:t xml:space="preserve">Taking these factors into account, case-by-case assessment </w:t>
      </w:r>
      <w:r w:rsidR="000D4873">
        <w:rPr>
          <w:rFonts w:ascii="TT1915Ao00" w:eastAsia="Cambria" w:hAnsi="TT1915Ao00" w:cs="TT1915Ao00"/>
          <w:color w:val="auto"/>
          <w:lang w:eastAsia="en-GB"/>
        </w:rPr>
        <w:t xml:space="preserve">and </w:t>
      </w:r>
      <w:r w:rsidRPr="00D43A66">
        <w:rPr>
          <w:rFonts w:ascii="TT1915Ao00" w:eastAsia="Cambria" w:hAnsi="TT1915Ao00" w:cs="TT1915Ao00"/>
          <w:color w:val="auto"/>
          <w:lang w:eastAsia="en-GB"/>
        </w:rPr>
        <w:t>review of contribution requirements may, in some cases, prove necessary as part of the triennial valuation process.</w:t>
      </w:r>
    </w:p>
    <w:p w:rsidR="00787E2F" w:rsidRDefault="00787E2F" w:rsidP="00612C1F">
      <w:pPr>
        <w:spacing w:after="0"/>
        <w:jc w:val="left"/>
        <w:rPr>
          <w:rFonts w:ascii="TT1915Ao00" w:eastAsia="Cambria" w:hAnsi="TT1915Ao00" w:cs="TT1915Ao00"/>
          <w:color w:val="auto"/>
          <w:lang w:eastAsia="en-GB"/>
        </w:rPr>
      </w:pPr>
    </w:p>
    <w:p w:rsidR="00787E2F" w:rsidRPr="00D43A66" w:rsidRDefault="00787E2F" w:rsidP="00612C1F">
      <w:pPr>
        <w:spacing w:after="0"/>
        <w:jc w:val="left"/>
        <w:rPr>
          <w:rFonts w:ascii="TT1915Ao00" w:eastAsia="Cambria" w:hAnsi="TT1915Ao00" w:cs="TT1915Ao00"/>
          <w:color w:val="auto"/>
          <w:lang w:eastAsia="en-GB"/>
        </w:rPr>
      </w:pPr>
      <w:r>
        <w:rPr>
          <w:rFonts w:ascii="TT1915Ao00" w:eastAsia="Cambria" w:hAnsi="TT1915Ao00" w:cs="TT1915Ao00"/>
          <w:color w:val="auto"/>
          <w:lang w:eastAsia="en-GB"/>
        </w:rPr>
        <w:t>In line with its Admissions and Terminations Policy the Fund will continue to seek either guarantees from existing scheduled employers or external insurance in the form of bonds when considering admitting new employers to the Fund.</w:t>
      </w:r>
    </w:p>
    <w:p w:rsidR="001A3B25" w:rsidRPr="00D43A66" w:rsidRDefault="001A3B25" w:rsidP="00612C1F">
      <w:pPr>
        <w:spacing w:after="0"/>
        <w:jc w:val="left"/>
        <w:rPr>
          <w:rFonts w:ascii="TT1915Ao00" w:eastAsia="Cambria" w:hAnsi="TT1915Ao00" w:cs="TT1915Ao00"/>
          <w:color w:val="auto"/>
          <w:lang w:eastAsia="en-GB"/>
        </w:rPr>
      </w:pPr>
    </w:p>
    <w:p w:rsidR="002D1BFC" w:rsidRPr="0027248E" w:rsidRDefault="002D1BFC" w:rsidP="00612C1F">
      <w:pPr>
        <w:spacing w:after="0"/>
        <w:jc w:val="left"/>
        <w:rPr>
          <w:rFonts w:ascii="TT1915Ao00" w:eastAsia="Cambria" w:hAnsi="TT1915Ao00" w:cs="TT1915Ao00"/>
          <w:color w:val="auto"/>
          <w:lang w:eastAsia="en-GB"/>
        </w:rPr>
      </w:pPr>
    </w:p>
    <w:p w:rsidR="00660293" w:rsidRPr="00D43A66" w:rsidRDefault="00660293" w:rsidP="00660293">
      <w:pPr>
        <w:rPr>
          <w:rFonts w:ascii="TT1915Ao00" w:eastAsia="Cambria" w:hAnsi="TT1915Ao00" w:cs="TT1915Ao00"/>
          <w:color w:val="auto"/>
          <w:lang w:eastAsia="en-GB"/>
        </w:rPr>
      </w:pPr>
      <w:r w:rsidRPr="00D43A66">
        <w:rPr>
          <w:rFonts w:ascii="TT1915Ao00" w:eastAsia="Cambria" w:hAnsi="TT1915Ao00" w:cs="TT1915Ao00"/>
          <w:color w:val="auto"/>
          <w:lang w:eastAsia="en-GB"/>
        </w:rPr>
        <w:lastRenderedPageBreak/>
        <w:t>In cases where an element of an existing Scheme employer's deficit is transferred to a new employer on its inception, the Scheme employer's deficit recovery contributions, as shown on the schedule to</w:t>
      </w:r>
      <w:r w:rsidR="0027248E">
        <w:rPr>
          <w:rFonts w:ascii="TT1915Ao00" w:eastAsia="Cambria" w:hAnsi="TT1915Ao00" w:cs="TT1915Ao00"/>
          <w:color w:val="auto"/>
          <w:lang w:eastAsia="en-GB"/>
        </w:rPr>
        <w:t xml:space="preserve"> </w:t>
      </w:r>
      <w:r w:rsidR="00787E2F">
        <w:rPr>
          <w:rFonts w:ascii="TT1915Ao00" w:eastAsia="Cambria" w:hAnsi="TT1915Ao00" w:cs="TT1915Ao00"/>
          <w:color w:val="auto"/>
          <w:lang w:eastAsia="en-GB"/>
        </w:rPr>
        <w:t>the Rates and Adjustments Certficate</w:t>
      </w:r>
      <w:r w:rsidRPr="00D43A66">
        <w:rPr>
          <w:rFonts w:ascii="TT1915Ao00" w:eastAsia="Cambria" w:hAnsi="TT1915Ao00" w:cs="TT1915Ao00"/>
          <w:color w:val="auto"/>
          <w:lang w:eastAsia="en-GB"/>
        </w:rPr>
        <w:t>, may be reallocated between the Scheme employer and the new employer to reflect this, on advice of the Actuary and as agreed with the Administering Authority.</w:t>
      </w:r>
    </w:p>
    <w:p w:rsidR="002D1BFC" w:rsidRDefault="002D1BFC" w:rsidP="00612C1F">
      <w:pPr>
        <w:spacing w:after="0"/>
        <w:jc w:val="left"/>
        <w:rPr>
          <w:rFonts w:ascii="TT1915Ao00" w:eastAsia="Cambria" w:hAnsi="TT1915Ao00" w:cs="TT1915Ao00"/>
          <w:color w:val="auto"/>
          <w:lang w:eastAsia="en-GB"/>
        </w:rPr>
      </w:pPr>
      <w:r w:rsidRPr="00D43A66">
        <w:rPr>
          <w:rFonts w:ascii="TT1915Ao00" w:eastAsia="Cambria" w:hAnsi="TT1915Ao00" w:cs="TT1915Ao00"/>
          <w:color w:val="auto"/>
          <w:lang w:eastAsia="en-GB"/>
        </w:rPr>
        <w:t>LGPS Regulations require the long-term funding objectives to achieve and maintain assets sufficient to cover 100% of the projected accrued liabilities. The level of assets necessary to meet this 100% funding objective is known as the 'funding target'. The role of the actuary in performing the necessary calculations and determining the key assumptions used, is an important feature in determining the funding requirements.</w:t>
      </w:r>
    </w:p>
    <w:p w:rsidR="008F0A35" w:rsidRDefault="008F0A35" w:rsidP="00612C1F">
      <w:pPr>
        <w:spacing w:after="0"/>
        <w:jc w:val="left"/>
        <w:rPr>
          <w:rFonts w:ascii="TT1915Ao00" w:eastAsia="Cambria" w:hAnsi="TT1915Ao00" w:cs="TT1915Ao00"/>
          <w:color w:val="auto"/>
          <w:lang w:eastAsia="en-GB"/>
        </w:rPr>
      </w:pPr>
    </w:p>
    <w:p w:rsidR="008F0A35" w:rsidRPr="00D43A66" w:rsidRDefault="008F0A35" w:rsidP="00612C1F">
      <w:pPr>
        <w:spacing w:after="0"/>
        <w:jc w:val="left"/>
        <w:rPr>
          <w:rFonts w:ascii="TT1915Ao00" w:eastAsia="Cambria" w:hAnsi="TT1915Ao00" w:cs="TT1915Ao00"/>
          <w:color w:val="auto"/>
          <w:lang w:eastAsia="en-GB"/>
        </w:rPr>
      </w:pPr>
      <w:r>
        <w:rPr>
          <w:rFonts w:ascii="TT1915Ao00" w:eastAsia="Cambria" w:hAnsi="TT1915Ao00" w:cs="TT1915Ao00"/>
          <w:color w:val="auto"/>
          <w:lang w:eastAsia="en-GB"/>
        </w:rPr>
        <w:t>Individual employers have a range of discretions available to them in terms of the benefits available to scheme members. Where the exercise of these discretions results in the potential for there to be a loss of future contributions to the Fund or an increased deficit a "strain payment" calculated by the Fund's actuary becomes due to the Fund from the employer immediately.</w:t>
      </w:r>
    </w:p>
    <w:p w:rsidR="00D6104C" w:rsidRPr="00D43A66" w:rsidRDefault="00D6104C" w:rsidP="00612C1F">
      <w:pPr>
        <w:spacing w:after="0"/>
        <w:jc w:val="left"/>
        <w:rPr>
          <w:rFonts w:ascii="TT1915Ao00" w:eastAsia="Cambria" w:hAnsi="TT1915Ao00" w:cs="TT1915Ao00"/>
          <w:color w:val="auto"/>
          <w:lang w:eastAsia="en-GB"/>
        </w:rPr>
      </w:pPr>
    </w:p>
    <w:p w:rsidR="00D6104C" w:rsidRPr="00D43A66" w:rsidRDefault="00D6104C" w:rsidP="00612C1F">
      <w:pPr>
        <w:spacing w:after="0"/>
        <w:jc w:val="left"/>
        <w:rPr>
          <w:rFonts w:ascii="TT1915Ao00" w:eastAsia="Cambria" w:hAnsi="TT1915Ao00" w:cs="TT1915Ao00"/>
          <w:color w:val="auto"/>
          <w:lang w:eastAsia="en-GB"/>
        </w:rPr>
      </w:pPr>
      <w:r w:rsidRPr="00D43A66">
        <w:rPr>
          <w:rFonts w:ascii="TT1915Ao00" w:eastAsia="Cambria" w:hAnsi="TT1915Ao00" w:cs="TT1915Ao00"/>
          <w:color w:val="auto"/>
          <w:lang w:eastAsia="en-GB"/>
        </w:rPr>
        <w:t>The approach to the actuarial valuation process and key assumptions used at each three-yearly</w:t>
      </w:r>
      <w:r w:rsidR="002460DA" w:rsidRPr="00D43A66">
        <w:rPr>
          <w:rFonts w:ascii="TT1915Ao00" w:eastAsia="Cambria" w:hAnsi="TT1915Ao00" w:cs="TT1915Ao00"/>
          <w:color w:val="auto"/>
          <w:lang w:eastAsia="en-GB"/>
        </w:rPr>
        <w:t xml:space="preserve"> valuation are consulted upon and the valuation forms part of the consultation undertaken with the FSS.</w:t>
      </w:r>
    </w:p>
    <w:p w:rsidR="002D1BFC" w:rsidRPr="00D43A66" w:rsidRDefault="002D1BFC" w:rsidP="00612C1F">
      <w:pPr>
        <w:spacing w:after="0"/>
        <w:jc w:val="left"/>
        <w:rPr>
          <w:rFonts w:ascii="TT1915Ao00" w:eastAsia="Cambria" w:hAnsi="TT1915Ao00" w:cs="TT1915Ao00"/>
          <w:color w:val="auto"/>
          <w:lang w:eastAsia="en-GB"/>
        </w:rPr>
      </w:pPr>
    </w:p>
    <w:p w:rsidR="00612C1F" w:rsidRPr="006E4A0D" w:rsidRDefault="00612C1F" w:rsidP="00612C1F">
      <w:pPr>
        <w:spacing w:after="0"/>
        <w:jc w:val="left"/>
        <w:rPr>
          <w:rFonts w:ascii="TT1915Ao00" w:eastAsia="Cambria" w:hAnsi="TT1915Ao00" w:cs="TT1915Ao00"/>
          <w:b/>
          <w:color w:val="auto"/>
          <w:lang w:eastAsia="en-GB"/>
        </w:rPr>
      </w:pPr>
      <w:r w:rsidRPr="006E4A0D">
        <w:rPr>
          <w:rFonts w:ascii="TT1915Ao00" w:eastAsia="Cambria" w:hAnsi="TT1915Ao00" w:cs="TT1915Ao00"/>
          <w:b/>
          <w:color w:val="auto"/>
          <w:lang w:eastAsia="en-GB"/>
        </w:rPr>
        <w:t>Determination of the funding target and recovery period</w:t>
      </w:r>
    </w:p>
    <w:p w:rsidR="00C71979" w:rsidRDefault="00C71979" w:rsidP="00612C1F">
      <w:pPr>
        <w:spacing w:after="0"/>
        <w:jc w:val="left"/>
        <w:rPr>
          <w:rFonts w:ascii="TT1915Do00" w:eastAsia="Cambria" w:hAnsi="TT1915Do00" w:cs="TT1915Do00"/>
          <w:color w:val="FF0000"/>
          <w:lang w:eastAsia="en-GB"/>
        </w:rPr>
      </w:pPr>
    </w:p>
    <w:p w:rsidR="00612C1F" w:rsidRPr="00563A61" w:rsidRDefault="00612C1F" w:rsidP="00612C1F">
      <w:pPr>
        <w:spacing w:after="0"/>
        <w:jc w:val="left"/>
        <w:rPr>
          <w:rFonts w:ascii="TT1915Ao00" w:eastAsia="Cambria" w:hAnsi="TT1915Ao00" w:cs="TT1915Ao00"/>
          <w:color w:val="000000" w:themeColor="text1"/>
          <w:lang w:eastAsia="en-GB"/>
        </w:rPr>
      </w:pPr>
      <w:r w:rsidRPr="00563A61">
        <w:rPr>
          <w:rFonts w:ascii="TT1915Do00" w:eastAsia="Cambria" w:hAnsi="TT1915Do00" w:cs="TT1915Do00"/>
          <w:color w:val="000000" w:themeColor="text1"/>
          <w:lang w:eastAsia="en-GB"/>
        </w:rPr>
        <w:t xml:space="preserve">The principal method and assumptions to be used in the calculation of the </w:t>
      </w:r>
      <w:r w:rsidRPr="00563A61">
        <w:rPr>
          <w:rFonts w:ascii="TT1915Ao00" w:eastAsia="Cambria" w:hAnsi="TT1915Ao00" w:cs="TT1915Ao00"/>
          <w:color w:val="000000" w:themeColor="text1"/>
          <w:lang w:eastAsia="en-GB"/>
        </w:rPr>
        <w:t>funding</w:t>
      </w:r>
    </w:p>
    <w:p w:rsidR="00612C1F" w:rsidRPr="00563A61" w:rsidRDefault="00612C1F" w:rsidP="00612C1F">
      <w:pPr>
        <w:spacing w:after="0"/>
        <w:jc w:val="left"/>
        <w:rPr>
          <w:rFonts w:ascii="TT1915Do00" w:eastAsia="Cambria" w:hAnsi="TT1915Do00" w:cs="TT1915Do00"/>
          <w:color w:val="000000" w:themeColor="text1"/>
          <w:lang w:eastAsia="en-GB"/>
        </w:rPr>
      </w:pPr>
      <w:r w:rsidRPr="00563A61">
        <w:rPr>
          <w:rFonts w:ascii="TT1915Ao00" w:eastAsia="Cambria" w:hAnsi="TT1915Ao00" w:cs="TT1915Ao00"/>
          <w:color w:val="000000" w:themeColor="text1"/>
          <w:lang w:eastAsia="en-GB"/>
        </w:rPr>
        <w:t xml:space="preserve">target </w:t>
      </w:r>
      <w:r w:rsidRPr="00563A61">
        <w:rPr>
          <w:rFonts w:ascii="TT1915Do00" w:eastAsia="Cambria" w:hAnsi="TT1915Do00" w:cs="TT1915Do00"/>
          <w:color w:val="000000" w:themeColor="text1"/>
          <w:lang w:eastAsia="en-GB"/>
        </w:rPr>
        <w:t>are set out in Annex 1.</w:t>
      </w:r>
    </w:p>
    <w:p w:rsidR="00C71979" w:rsidRPr="00563A61" w:rsidRDefault="00C71979" w:rsidP="00612C1F">
      <w:pPr>
        <w:spacing w:after="0"/>
        <w:jc w:val="left"/>
        <w:rPr>
          <w:rFonts w:ascii="TT1915Do00" w:eastAsia="Cambria" w:hAnsi="TT1915Do00" w:cs="TT1915Do00"/>
          <w:color w:val="000000" w:themeColor="text1"/>
          <w:lang w:eastAsia="en-GB"/>
        </w:rPr>
      </w:pPr>
    </w:p>
    <w:p w:rsidR="00612C1F" w:rsidRDefault="00612C1F" w:rsidP="00612C1F">
      <w:pPr>
        <w:spacing w:after="0"/>
        <w:jc w:val="left"/>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Underlying these assumptions are the following two tenets:</w:t>
      </w:r>
    </w:p>
    <w:p w:rsidR="00563A61" w:rsidRPr="00563A61" w:rsidRDefault="00563A61" w:rsidP="00612C1F">
      <w:pPr>
        <w:spacing w:after="0"/>
        <w:jc w:val="left"/>
        <w:rPr>
          <w:rFonts w:ascii="TT1915Do00" w:eastAsia="Cambria" w:hAnsi="TT1915Do00" w:cs="TT1915Do00"/>
          <w:color w:val="000000" w:themeColor="text1"/>
          <w:lang w:eastAsia="en-GB"/>
        </w:rPr>
      </w:pPr>
    </w:p>
    <w:p w:rsidR="00612C1F" w:rsidRPr="00563A61" w:rsidRDefault="00612C1F" w:rsidP="00414BF8">
      <w:pPr>
        <w:numPr>
          <w:ilvl w:val="0"/>
          <w:numId w:val="24"/>
        </w:numPr>
        <w:autoSpaceDE/>
        <w:autoSpaceDN/>
        <w:adjustRightInd/>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that the Scheme is expected to continue for the foreseeable future; and</w:t>
      </w:r>
    </w:p>
    <w:p w:rsidR="00612C1F" w:rsidRPr="00563A61" w:rsidRDefault="00612C1F" w:rsidP="00414BF8">
      <w:pPr>
        <w:numPr>
          <w:ilvl w:val="0"/>
          <w:numId w:val="24"/>
        </w:numPr>
        <w:autoSpaceDE/>
        <w:autoSpaceDN/>
        <w:adjustRightInd/>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favourable investment performance can play a valuable role in achieving</w:t>
      </w:r>
      <w:r w:rsidR="00C71979"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adequate funding over the longer term.</w:t>
      </w:r>
    </w:p>
    <w:p w:rsidR="00157CEA" w:rsidRDefault="00157CEA" w:rsidP="00612C1F">
      <w:pPr>
        <w:spacing w:after="0"/>
        <w:jc w:val="left"/>
        <w:rPr>
          <w:rFonts w:ascii="TT1915Do00" w:eastAsia="Cambria" w:hAnsi="TT1915Do00" w:cs="TT1915Do00"/>
          <w:color w:val="000000" w:themeColor="text1"/>
          <w:lang w:eastAsia="en-GB"/>
        </w:rPr>
      </w:pPr>
    </w:p>
    <w:p w:rsidR="00563A61" w:rsidRDefault="00563A61" w:rsidP="00563A61">
      <w:pPr>
        <w:rPr>
          <w:rFonts w:cs="Arial"/>
        </w:rPr>
      </w:pPr>
      <w:r>
        <w:rPr>
          <w:rFonts w:cs="Arial"/>
        </w:rPr>
        <w:t>This allows us to take a longer term view when assessing the contribution requirements for certain employers.  As part of this valuation when looking to potentially stabilise contribution requirements we will consider whether we can build into the funding plan the following:-</w:t>
      </w:r>
    </w:p>
    <w:p w:rsidR="00563A61" w:rsidRDefault="00563A61" w:rsidP="00563A61">
      <w:pPr>
        <w:numPr>
          <w:ilvl w:val="0"/>
          <w:numId w:val="24"/>
        </w:numPr>
        <w:autoSpaceDE/>
        <w:autoSpaceDN/>
        <w:adjustRightInd/>
        <w:rPr>
          <w:rFonts w:cs="Arial"/>
        </w:rPr>
      </w:pPr>
      <w:r>
        <w:rPr>
          <w:rFonts w:cs="Arial"/>
        </w:rPr>
        <w:t>some allowance for changes in market conditions that have occurred since the valuation date;</w:t>
      </w:r>
    </w:p>
    <w:p w:rsidR="00563A61" w:rsidRDefault="00563A61" w:rsidP="00563A61">
      <w:pPr>
        <w:numPr>
          <w:ilvl w:val="0"/>
          <w:numId w:val="24"/>
        </w:numPr>
        <w:autoSpaceDE/>
        <w:autoSpaceDN/>
        <w:adjustRightInd/>
        <w:rPr>
          <w:rFonts w:cs="Arial"/>
        </w:rPr>
      </w:pPr>
      <w:r>
        <w:rPr>
          <w:rFonts w:cs="Arial"/>
        </w:rPr>
        <w:t>some further allowance for interest rates and bond yields to revert to higher levels over the medium to long term.</w:t>
      </w:r>
    </w:p>
    <w:p w:rsidR="00563A61" w:rsidRPr="00563A61" w:rsidRDefault="00563A61" w:rsidP="00563A61">
      <w:pPr>
        <w:spacing w:after="0"/>
        <w:jc w:val="left"/>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In considering this the Administering Authority, based on the advice of the Actuary, will consider if this results in a reasonable likelihood that the funding plan will be successful.</w:t>
      </w:r>
    </w:p>
    <w:p w:rsidR="00563A61" w:rsidRPr="00563A61" w:rsidRDefault="00563A61" w:rsidP="00612C1F">
      <w:pPr>
        <w:spacing w:after="0"/>
        <w:jc w:val="left"/>
        <w:rPr>
          <w:rFonts w:ascii="TT1915Do00" w:eastAsia="Cambria" w:hAnsi="TT1915Do00" w:cs="TT1915Do00"/>
          <w:color w:val="000000" w:themeColor="text1"/>
          <w:lang w:eastAsia="en-GB"/>
        </w:rPr>
      </w:pPr>
    </w:p>
    <w:p w:rsidR="00612C1F" w:rsidRDefault="00612C1F" w:rsidP="00612C1F">
      <w:pPr>
        <w:spacing w:after="0"/>
        <w:jc w:val="left"/>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As part of each valuation separate employer contribution rates are assessed by</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the actuary for each participating employer or group of employers. These rates</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are assessed taking into account the experience and circumstances of each</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 xml:space="preserve">employer </w:t>
      </w:r>
      <w:r w:rsidRPr="00563A61">
        <w:rPr>
          <w:rFonts w:ascii="TT1915Do00" w:eastAsia="Cambria" w:hAnsi="TT1915Do00" w:cs="TT1915Do00"/>
          <w:color w:val="000000" w:themeColor="text1"/>
          <w:lang w:eastAsia="en-GB"/>
        </w:rPr>
        <w:lastRenderedPageBreak/>
        <w:t>(or employer grouping), following a principle of no cross-subsidy</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between the various employers in the Scheme.</w:t>
      </w:r>
    </w:p>
    <w:p w:rsidR="00563A61" w:rsidRPr="00563A61" w:rsidRDefault="00563A61" w:rsidP="00612C1F">
      <w:pPr>
        <w:spacing w:after="0"/>
        <w:jc w:val="left"/>
        <w:rPr>
          <w:rFonts w:ascii="TT1915Do00" w:eastAsia="Cambria" w:hAnsi="TT1915Do00" w:cs="TT1915Do00"/>
          <w:color w:val="000000" w:themeColor="text1"/>
          <w:lang w:eastAsia="en-GB"/>
        </w:rPr>
      </w:pPr>
    </w:p>
    <w:p w:rsidR="00612C1F" w:rsidRPr="00563A61" w:rsidRDefault="00612C1F" w:rsidP="00612C1F">
      <w:pPr>
        <w:spacing w:after="0"/>
        <w:jc w:val="left"/>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In attributing the overall investment performance obtained on the assets of the</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Scheme to each employer a pro-rata principle is adopted. This approach is</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effectively one of applying a notional individual employer investment strategy</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identical to that adopted for the Scheme as a whole.</w:t>
      </w:r>
    </w:p>
    <w:p w:rsidR="00157CEA" w:rsidRPr="00563A61" w:rsidRDefault="00157CEA" w:rsidP="00612C1F">
      <w:pPr>
        <w:spacing w:after="0"/>
        <w:jc w:val="left"/>
        <w:rPr>
          <w:rFonts w:ascii="TT1915Do00" w:eastAsia="Cambria" w:hAnsi="TT1915Do00" w:cs="TT1915Do00"/>
          <w:color w:val="000000" w:themeColor="text1"/>
          <w:lang w:eastAsia="en-GB"/>
        </w:rPr>
      </w:pPr>
    </w:p>
    <w:p w:rsidR="00563A61" w:rsidRDefault="00612C1F" w:rsidP="00612C1F">
      <w:pPr>
        <w:spacing w:after="0"/>
        <w:jc w:val="left"/>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The Administering Authority, following consultation with the participating</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employers, has adopted the following objectives for setting the individual</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employer contribution rates</w:t>
      </w:r>
      <w:r w:rsidR="00563A61" w:rsidRPr="00563A61">
        <w:rPr>
          <w:rFonts w:cs="Arial"/>
        </w:rPr>
        <w:t xml:space="preserve"> </w:t>
      </w:r>
      <w:r w:rsidR="00563A61" w:rsidRPr="009A05AB">
        <w:rPr>
          <w:rFonts w:cs="Arial"/>
        </w:rPr>
        <w:t>arising from the 20</w:t>
      </w:r>
      <w:r w:rsidR="00563A61">
        <w:rPr>
          <w:rFonts w:cs="Arial"/>
        </w:rPr>
        <w:t>13</w:t>
      </w:r>
      <w:r w:rsidR="00563A61" w:rsidRPr="009A05AB">
        <w:rPr>
          <w:rFonts w:cs="Arial"/>
        </w:rPr>
        <w:t xml:space="preserve"> actuarial valuation</w:t>
      </w:r>
      <w:r w:rsidRPr="00563A61">
        <w:rPr>
          <w:rFonts w:ascii="TT1915Do00" w:eastAsia="Cambria" w:hAnsi="TT1915Do00" w:cs="TT1915Do00"/>
          <w:color w:val="000000" w:themeColor="text1"/>
          <w:lang w:eastAsia="en-GB"/>
        </w:rPr>
        <w:t>:</w:t>
      </w:r>
    </w:p>
    <w:p w:rsidR="00563A61" w:rsidRPr="00563A61" w:rsidRDefault="00563A61" w:rsidP="00612C1F">
      <w:pPr>
        <w:spacing w:after="0"/>
        <w:jc w:val="left"/>
        <w:rPr>
          <w:rFonts w:ascii="TT1915Do00" w:eastAsia="Cambria" w:hAnsi="TT1915Do00" w:cs="TT1915Do00"/>
          <w:color w:val="000000" w:themeColor="text1"/>
          <w:lang w:eastAsia="en-GB"/>
        </w:rPr>
      </w:pPr>
    </w:p>
    <w:p w:rsidR="00612C1F" w:rsidRPr="00563A61" w:rsidRDefault="00612C1F" w:rsidP="00414BF8">
      <w:pPr>
        <w:numPr>
          <w:ilvl w:val="0"/>
          <w:numId w:val="24"/>
        </w:numPr>
        <w:autoSpaceDE/>
        <w:autoSpaceDN/>
        <w:adjustRightInd/>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A maximum deficit recovery period of 19 years will apply. Employers will have</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the freedom to adopt a recovery plan on the basis of a shorter period if they</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so wish. A different period may be applied in respect of particular employers</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where the Administering Authority considers this to be warranted (see Deficit</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Recovery Plan below).</w:t>
      </w:r>
    </w:p>
    <w:p w:rsidR="00612C1F" w:rsidRDefault="00612C1F" w:rsidP="00414BF8">
      <w:pPr>
        <w:numPr>
          <w:ilvl w:val="0"/>
          <w:numId w:val="24"/>
        </w:numPr>
        <w:autoSpaceDE/>
        <w:autoSpaceDN/>
        <w:adjustRightInd/>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Where increases in employer contribution rates are required from 1 April</w:t>
      </w:r>
      <w:r w:rsidR="00157CEA" w:rsidRPr="00563A61">
        <w:rPr>
          <w:rFonts w:ascii="TT1915Do00" w:eastAsia="Cambria" w:hAnsi="TT1915Do00" w:cs="TT1915Do00"/>
          <w:color w:val="000000" w:themeColor="text1"/>
          <w:lang w:eastAsia="en-GB"/>
        </w:rPr>
        <w:t xml:space="preserve"> </w:t>
      </w:r>
      <w:r w:rsidR="00563A61" w:rsidRPr="00563A61">
        <w:rPr>
          <w:rFonts w:ascii="TT1915Do00" w:eastAsia="Cambria" w:hAnsi="TT1915Do00" w:cs="TT1915Do00"/>
          <w:color w:val="000000" w:themeColor="text1"/>
          <w:lang w:eastAsia="en-GB"/>
        </w:rPr>
        <w:t>201</w:t>
      </w:r>
      <w:r w:rsidR="00563A61">
        <w:rPr>
          <w:rFonts w:ascii="TT1915Do00" w:eastAsia="Cambria" w:hAnsi="TT1915Do00" w:cs="TT1915Do00"/>
          <w:color w:val="000000" w:themeColor="text1"/>
          <w:lang w:eastAsia="en-GB"/>
        </w:rPr>
        <w:t>4</w:t>
      </w:r>
      <w:r w:rsidRPr="00563A61">
        <w:rPr>
          <w:rFonts w:ascii="TT1915Do00" w:eastAsia="Cambria" w:hAnsi="TT1915Do00" w:cs="TT1915Do00"/>
          <w:color w:val="000000" w:themeColor="text1"/>
          <w:lang w:eastAsia="en-GB"/>
        </w:rPr>
        <w:t xml:space="preserve">, following completion of the </w:t>
      </w:r>
      <w:r w:rsidR="00563A61" w:rsidRPr="00563A61">
        <w:rPr>
          <w:rFonts w:ascii="TT1915Do00" w:eastAsia="Cambria" w:hAnsi="TT1915Do00" w:cs="TT1915Do00"/>
          <w:color w:val="000000" w:themeColor="text1"/>
          <w:lang w:eastAsia="en-GB"/>
        </w:rPr>
        <w:t>201</w:t>
      </w:r>
      <w:r w:rsidR="00563A61">
        <w:rPr>
          <w:rFonts w:ascii="TT1915Do00" w:eastAsia="Cambria" w:hAnsi="TT1915Do00" w:cs="TT1915Do00"/>
          <w:color w:val="000000" w:themeColor="text1"/>
          <w:lang w:eastAsia="en-GB"/>
        </w:rPr>
        <w:t>3</w:t>
      </w:r>
      <w:r w:rsidR="00563A61"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actuarial valuation, the increase from</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the rates of contribution payable in the year 201</w:t>
      </w:r>
      <w:r w:rsidR="00563A61">
        <w:rPr>
          <w:rFonts w:ascii="TT1915Do00" w:eastAsia="Cambria" w:hAnsi="TT1915Do00" w:cs="TT1915Do00"/>
          <w:color w:val="000000" w:themeColor="text1"/>
          <w:lang w:eastAsia="en-GB"/>
        </w:rPr>
        <w:t>4/15</w:t>
      </w:r>
      <w:r w:rsidRPr="00563A61">
        <w:rPr>
          <w:rFonts w:ascii="TT1915Do00" w:eastAsia="Cambria" w:hAnsi="TT1915Do00" w:cs="TT1915Do00"/>
          <w:color w:val="000000" w:themeColor="text1"/>
          <w:lang w:eastAsia="en-GB"/>
        </w:rPr>
        <w:t xml:space="preserve"> may be implemented in</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equal steps, over a maximum period of 3 years.</w:t>
      </w:r>
    </w:p>
    <w:p w:rsidR="0099351B" w:rsidRDefault="0099351B" w:rsidP="00612C1F">
      <w:pPr>
        <w:spacing w:after="0"/>
        <w:jc w:val="left"/>
        <w:rPr>
          <w:rFonts w:ascii="TT1915Do00" w:eastAsia="Cambria" w:hAnsi="TT1915Do00" w:cs="TT1915Do00"/>
          <w:color w:val="000000" w:themeColor="text1"/>
          <w:lang w:eastAsia="en-GB"/>
        </w:rPr>
      </w:pPr>
    </w:p>
    <w:p w:rsidR="00563A61" w:rsidRPr="00563A61" w:rsidRDefault="00563A61" w:rsidP="00563A61">
      <w:pPr>
        <w:spacing w:after="0"/>
        <w:jc w:val="left"/>
        <w:rPr>
          <w:rFonts w:ascii="TT1915Eo00" w:eastAsia="Cambria" w:hAnsi="TT1915Eo00" w:cs="TT1915Eo00"/>
          <w:color w:val="000000" w:themeColor="text1"/>
          <w:lang w:eastAsia="en-GB"/>
        </w:rPr>
      </w:pPr>
      <w:r w:rsidRPr="00563A61">
        <w:rPr>
          <w:rFonts w:ascii="TT1915Eo00" w:eastAsia="Cambria" w:hAnsi="TT1915Eo00" w:cs="TT1915Eo00"/>
          <w:color w:val="000000" w:themeColor="text1"/>
          <w:lang w:eastAsia="en-GB"/>
        </w:rPr>
        <w:t>The employer contributions will be expressed and certified as two separate elements:</w:t>
      </w:r>
    </w:p>
    <w:p w:rsidR="00563A61" w:rsidRDefault="00563A61" w:rsidP="00563A61">
      <w:pPr>
        <w:numPr>
          <w:ilvl w:val="3"/>
          <w:numId w:val="25"/>
        </w:numPr>
        <w:tabs>
          <w:tab w:val="clear" w:pos="2880"/>
          <w:tab w:val="num" w:pos="1080"/>
        </w:tabs>
        <w:autoSpaceDE/>
        <w:autoSpaceDN/>
        <w:adjustRightInd/>
        <w:spacing w:before="120"/>
        <w:ind w:left="1078" w:hanging="539"/>
        <w:jc w:val="left"/>
        <w:rPr>
          <w:rFonts w:cs="Arial"/>
        </w:rPr>
      </w:pPr>
      <w:r>
        <w:rPr>
          <w:rFonts w:cs="Arial"/>
        </w:rPr>
        <w:t>a percentage of pensionable payroll in respect of the future accrual of benefit</w:t>
      </w:r>
    </w:p>
    <w:p w:rsidR="00563A61" w:rsidRDefault="00563A61" w:rsidP="00563A61">
      <w:pPr>
        <w:numPr>
          <w:ilvl w:val="3"/>
          <w:numId w:val="25"/>
        </w:numPr>
        <w:tabs>
          <w:tab w:val="clear" w:pos="2880"/>
          <w:tab w:val="left" w:pos="540"/>
          <w:tab w:val="num" w:pos="1080"/>
        </w:tabs>
        <w:autoSpaceDE/>
        <w:autoSpaceDN/>
        <w:adjustRightInd/>
        <w:spacing w:after="0"/>
        <w:ind w:left="1080" w:hanging="540"/>
        <w:jc w:val="left"/>
        <w:rPr>
          <w:rFonts w:cs="Arial"/>
        </w:rPr>
      </w:pPr>
      <w:r>
        <w:rPr>
          <w:rFonts w:cs="Arial"/>
        </w:rPr>
        <w:t>a schedule of lump sum amounts over 2014/17 in respect of the past service deficit (subject to the review from April 2017 based on the results of the 2016 actuarial valuation).</w:t>
      </w:r>
    </w:p>
    <w:p w:rsidR="0099351B" w:rsidRDefault="0099351B" w:rsidP="00563A61">
      <w:pPr>
        <w:spacing w:after="0"/>
        <w:jc w:val="left"/>
        <w:rPr>
          <w:rFonts w:ascii="TT1915Eo00" w:eastAsia="Cambria" w:hAnsi="TT1915Eo00" w:cs="TT1915Eo00"/>
          <w:color w:val="000000" w:themeColor="text1"/>
          <w:lang w:eastAsia="en-GB"/>
        </w:rPr>
      </w:pPr>
    </w:p>
    <w:p w:rsidR="0099351B" w:rsidRDefault="0099351B" w:rsidP="0099351B">
      <w:pPr>
        <w:spacing w:after="0"/>
        <w:jc w:val="left"/>
        <w:rPr>
          <w:rFonts w:ascii="TT1915Do00" w:eastAsia="Cambria" w:hAnsi="TT1915Do00" w:cs="TT1915Do00"/>
          <w:color w:val="auto"/>
          <w:lang w:eastAsia="en-GB"/>
        </w:rPr>
      </w:pPr>
      <w:r w:rsidRPr="00563A61">
        <w:rPr>
          <w:rFonts w:ascii="TT1915Do00" w:eastAsia="Cambria" w:hAnsi="TT1915Do00" w:cs="TT1915Do00"/>
          <w:color w:val="auto"/>
          <w:lang w:eastAsia="en-GB"/>
        </w:rPr>
        <w:t>The contributions for any employer</w:t>
      </w:r>
      <w:r w:rsidR="00414BF8">
        <w:rPr>
          <w:rFonts w:ascii="TT1915Do00" w:eastAsia="Cambria" w:hAnsi="TT1915Do00" w:cs="TT1915Do00"/>
          <w:color w:val="auto"/>
          <w:lang w:eastAsia="en-GB"/>
        </w:rPr>
        <w:t xml:space="preserve"> </w:t>
      </w:r>
      <w:r w:rsidRPr="00563A61">
        <w:rPr>
          <w:rFonts w:ascii="TT1915Do00" w:eastAsia="Cambria" w:hAnsi="TT1915Do00" w:cs="TT1915Do00"/>
          <w:color w:val="auto"/>
          <w:lang w:eastAsia="en-GB"/>
        </w:rPr>
        <w:t>may be varied as agreed by the Actuary and Administering Authority to reflect any changes in contribution requirements as a result of any benefit costs being insured with a third party or internally within the Fund.</w:t>
      </w:r>
    </w:p>
    <w:p w:rsidR="0099351B" w:rsidRDefault="0099351B" w:rsidP="00563A61">
      <w:pPr>
        <w:spacing w:after="0"/>
        <w:jc w:val="left"/>
        <w:rPr>
          <w:rFonts w:ascii="TT1915Eo00" w:eastAsia="Cambria" w:hAnsi="TT1915Eo00" w:cs="TT1915Eo00"/>
          <w:color w:val="000000" w:themeColor="text1"/>
          <w:lang w:eastAsia="en-GB"/>
        </w:rPr>
      </w:pPr>
    </w:p>
    <w:p w:rsidR="00563A61" w:rsidRDefault="00612C1F" w:rsidP="00563A61">
      <w:pPr>
        <w:spacing w:after="0"/>
        <w:jc w:val="left"/>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On the cessation of an employer’s participation in the Scheme, the actuary</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will be asked to make a termination assessment. Any deficit in the Scheme in</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respect of the employer will be due to the Scheme as a termination</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contribution, unless it is agreed by the Administering Authority and the other</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parties involved that the assets and liabilities relating to the employer will</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transfer within the Scheme to another participating employer.</w:t>
      </w:r>
    </w:p>
    <w:p w:rsidR="00563A61" w:rsidRPr="00563A61" w:rsidRDefault="00563A61" w:rsidP="00612C1F">
      <w:pPr>
        <w:spacing w:after="0"/>
        <w:jc w:val="left"/>
        <w:rPr>
          <w:rFonts w:ascii="TT1915Do00" w:eastAsia="Cambria" w:hAnsi="TT1915Do00" w:cs="TT1915Do00"/>
          <w:color w:val="000000" w:themeColor="text1"/>
          <w:lang w:eastAsia="en-GB"/>
        </w:rPr>
      </w:pPr>
    </w:p>
    <w:p w:rsidR="00563A61" w:rsidRPr="00563A61" w:rsidRDefault="00563A61" w:rsidP="00563A61">
      <w:pPr>
        <w:spacing w:after="0"/>
        <w:jc w:val="left"/>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However, the Administering Authority has ultimate discretion where the particular circumstances of any given Employer warrant a variation from these objectives.</w:t>
      </w:r>
    </w:p>
    <w:p w:rsidR="00563A61" w:rsidRDefault="00563A61" w:rsidP="00612C1F">
      <w:pPr>
        <w:spacing w:after="0"/>
        <w:jc w:val="left"/>
        <w:rPr>
          <w:rFonts w:ascii="TT1915Do00" w:eastAsia="Cambria" w:hAnsi="TT1915Do00" w:cs="TT1915Do00"/>
          <w:color w:val="000000" w:themeColor="text1"/>
          <w:lang w:eastAsia="en-GB"/>
        </w:rPr>
      </w:pPr>
    </w:p>
    <w:p w:rsidR="00612C1F" w:rsidRPr="00563A61" w:rsidRDefault="00612C1F" w:rsidP="00612C1F">
      <w:pPr>
        <w:spacing w:after="0"/>
        <w:jc w:val="left"/>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In determining the above objectives the Administering Authority has had regard to:</w:t>
      </w:r>
    </w:p>
    <w:p w:rsidR="00612C1F" w:rsidRPr="00563A61" w:rsidRDefault="00612C1F" w:rsidP="007D4DD7">
      <w:pPr>
        <w:numPr>
          <w:ilvl w:val="3"/>
          <w:numId w:val="25"/>
        </w:numPr>
        <w:tabs>
          <w:tab w:val="clear" w:pos="2880"/>
          <w:tab w:val="left" w:pos="540"/>
          <w:tab w:val="num" w:pos="1080"/>
        </w:tabs>
        <w:autoSpaceDE/>
        <w:autoSpaceDN/>
        <w:adjustRightInd/>
        <w:spacing w:after="0"/>
        <w:ind w:left="1080" w:hanging="540"/>
        <w:jc w:val="left"/>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the responses made to the consultation with employers on the FSS principles</w:t>
      </w:r>
      <w:r w:rsidR="007D4DD7">
        <w:rPr>
          <w:rFonts w:ascii="TT1915Do00" w:eastAsia="Cambria" w:hAnsi="TT1915Do00" w:cs="TT1915Do00"/>
          <w:color w:val="000000" w:themeColor="text1"/>
          <w:lang w:eastAsia="en-GB"/>
        </w:rPr>
        <w:t>;</w:t>
      </w:r>
    </w:p>
    <w:p w:rsidR="00612C1F" w:rsidRPr="00563A61" w:rsidRDefault="00612C1F" w:rsidP="007D4DD7">
      <w:pPr>
        <w:numPr>
          <w:ilvl w:val="3"/>
          <w:numId w:val="25"/>
        </w:numPr>
        <w:tabs>
          <w:tab w:val="clear" w:pos="2880"/>
          <w:tab w:val="left" w:pos="540"/>
          <w:tab w:val="num" w:pos="1080"/>
        </w:tabs>
        <w:autoSpaceDE/>
        <w:autoSpaceDN/>
        <w:adjustRightInd/>
        <w:spacing w:after="0"/>
        <w:ind w:left="1080" w:hanging="540"/>
        <w:jc w:val="left"/>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relevant guidance issued by the CIPFA Pensions Panel</w:t>
      </w:r>
      <w:r w:rsidR="007D4DD7">
        <w:rPr>
          <w:rFonts w:ascii="TT1915Do00" w:eastAsia="Cambria" w:hAnsi="TT1915Do00" w:cs="TT1915Do00"/>
          <w:color w:val="000000" w:themeColor="text1"/>
          <w:lang w:eastAsia="en-GB"/>
        </w:rPr>
        <w:t>;</w:t>
      </w:r>
    </w:p>
    <w:p w:rsidR="00612C1F" w:rsidRPr="00563A61" w:rsidRDefault="00612C1F" w:rsidP="007D4DD7">
      <w:pPr>
        <w:numPr>
          <w:ilvl w:val="3"/>
          <w:numId w:val="25"/>
        </w:numPr>
        <w:tabs>
          <w:tab w:val="clear" w:pos="2880"/>
          <w:tab w:val="left" w:pos="540"/>
          <w:tab w:val="num" w:pos="1080"/>
        </w:tabs>
        <w:autoSpaceDE/>
        <w:autoSpaceDN/>
        <w:adjustRightInd/>
        <w:spacing w:after="0"/>
        <w:ind w:left="1080" w:hanging="540"/>
        <w:jc w:val="left"/>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lastRenderedPageBreak/>
        <w:t>the need to balance a desire to attain the target as soon as possible against the</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short-term cash requirements which a shorter period would impose</w:t>
      </w:r>
      <w:r w:rsidR="007D4DD7">
        <w:rPr>
          <w:rFonts w:ascii="TT1915Do00" w:eastAsia="Cambria" w:hAnsi="TT1915Do00" w:cs="TT1915Do00"/>
          <w:color w:val="000000" w:themeColor="text1"/>
          <w:lang w:eastAsia="en-GB"/>
        </w:rPr>
        <w:t>;</w:t>
      </w:r>
    </w:p>
    <w:p w:rsidR="00612C1F" w:rsidRPr="007D4DD7" w:rsidRDefault="00612C1F" w:rsidP="00612C1F">
      <w:pPr>
        <w:numPr>
          <w:ilvl w:val="3"/>
          <w:numId w:val="25"/>
        </w:numPr>
        <w:tabs>
          <w:tab w:val="clear" w:pos="2880"/>
          <w:tab w:val="left" w:pos="540"/>
          <w:tab w:val="num" w:pos="1080"/>
        </w:tabs>
        <w:autoSpaceDE/>
        <w:autoSpaceDN/>
        <w:adjustRightInd/>
        <w:spacing w:after="0"/>
        <w:ind w:left="1080" w:hanging="540"/>
        <w:jc w:val="left"/>
        <w:rPr>
          <w:rFonts w:ascii="TT1915Do00" w:eastAsia="Cambria" w:hAnsi="TT1915Do00" w:cs="TT1915Do00"/>
          <w:color w:val="000000" w:themeColor="text1"/>
          <w:lang w:eastAsia="en-GB"/>
        </w:rPr>
      </w:pPr>
      <w:r w:rsidRPr="007D4DD7">
        <w:rPr>
          <w:rFonts w:ascii="TT1915Do00" w:eastAsia="Cambria" w:hAnsi="TT1915Do00" w:cs="TT1915Do00"/>
          <w:color w:val="000000" w:themeColor="text1"/>
          <w:lang w:eastAsia="en-GB"/>
        </w:rPr>
        <w:t>the Administering Authority’s views on the strength of the participating</w:t>
      </w:r>
      <w:r w:rsidR="007D4DD7" w:rsidRPr="007D4DD7">
        <w:rPr>
          <w:rFonts w:ascii="TT1915Do00" w:eastAsia="Cambria" w:hAnsi="TT1915Do00" w:cs="TT1915Do00"/>
          <w:color w:val="000000" w:themeColor="text1"/>
          <w:lang w:eastAsia="en-GB"/>
        </w:rPr>
        <w:t xml:space="preserve"> </w:t>
      </w:r>
      <w:r w:rsidRPr="007D4DD7">
        <w:rPr>
          <w:rFonts w:ascii="TT1915Do00" w:eastAsia="Cambria" w:hAnsi="TT1915Do00" w:cs="TT1915Do00"/>
          <w:color w:val="000000" w:themeColor="text1"/>
          <w:lang w:eastAsia="en-GB"/>
        </w:rPr>
        <w:t>employers’ covenants in achieving the objective.</w:t>
      </w:r>
    </w:p>
    <w:p w:rsidR="00157CEA" w:rsidRDefault="00157CEA" w:rsidP="00612C1F">
      <w:pPr>
        <w:spacing w:after="0"/>
        <w:jc w:val="left"/>
        <w:rPr>
          <w:rFonts w:ascii="TT1915Ao00" w:eastAsia="Cambria" w:hAnsi="TT1915Ao00" w:cs="TT1915Ao00"/>
          <w:color w:val="000000" w:themeColor="text1"/>
          <w:lang w:eastAsia="en-GB"/>
        </w:rPr>
      </w:pPr>
    </w:p>
    <w:p w:rsidR="007D4DD7" w:rsidRDefault="007D4DD7" w:rsidP="00612C1F">
      <w:pPr>
        <w:spacing w:after="0"/>
        <w:jc w:val="left"/>
        <w:rPr>
          <w:rFonts w:ascii="TT1915Ao00" w:eastAsia="Cambria" w:hAnsi="TT1915Ao00" w:cs="TT1915Ao00"/>
          <w:color w:val="000000" w:themeColor="text1"/>
          <w:lang w:eastAsia="en-GB"/>
        </w:rPr>
      </w:pPr>
    </w:p>
    <w:p w:rsidR="007D4DD7" w:rsidRPr="00563A61" w:rsidRDefault="007D4DD7" w:rsidP="00612C1F">
      <w:pPr>
        <w:spacing w:after="0"/>
        <w:jc w:val="left"/>
        <w:rPr>
          <w:rFonts w:ascii="TT1915Ao00" w:eastAsia="Cambria" w:hAnsi="TT1915Ao00" w:cs="TT1915Ao00"/>
          <w:color w:val="000000" w:themeColor="text1"/>
          <w:lang w:eastAsia="en-GB"/>
        </w:rPr>
      </w:pPr>
    </w:p>
    <w:p w:rsidR="00612C1F" w:rsidRPr="00563A61" w:rsidRDefault="00612C1F" w:rsidP="00612C1F">
      <w:pPr>
        <w:spacing w:after="0"/>
        <w:jc w:val="left"/>
        <w:rPr>
          <w:rFonts w:ascii="TT1915Ao00" w:eastAsia="Cambria" w:hAnsi="TT1915Ao00" w:cs="TT1915Ao00"/>
          <w:b/>
          <w:color w:val="000000" w:themeColor="text1"/>
          <w:lang w:eastAsia="en-GB"/>
        </w:rPr>
      </w:pPr>
      <w:r w:rsidRPr="00563A61">
        <w:rPr>
          <w:rFonts w:ascii="TT1915Ao00" w:eastAsia="Cambria" w:hAnsi="TT1915Ao00" w:cs="TT1915Ao00"/>
          <w:b/>
          <w:color w:val="000000" w:themeColor="text1"/>
          <w:lang w:eastAsia="en-GB"/>
        </w:rPr>
        <w:t>Deficit recovery plan</w:t>
      </w:r>
    </w:p>
    <w:p w:rsidR="00612C1F" w:rsidRDefault="00612C1F" w:rsidP="00612C1F">
      <w:pPr>
        <w:spacing w:after="0"/>
        <w:jc w:val="left"/>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 xml:space="preserve">If the assets of the scheme relating to an employer are less than the </w:t>
      </w:r>
      <w:r w:rsidRPr="00563A61">
        <w:rPr>
          <w:rFonts w:ascii="TT1915Ao00" w:eastAsia="Cambria" w:hAnsi="TT1915Ao00" w:cs="TT1915Ao00"/>
          <w:color w:val="000000" w:themeColor="text1"/>
          <w:lang w:eastAsia="en-GB"/>
        </w:rPr>
        <w:t>funding</w:t>
      </w:r>
      <w:r w:rsidR="00157CEA" w:rsidRPr="00563A61">
        <w:rPr>
          <w:rFonts w:ascii="TT1915Ao00" w:eastAsia="Cambria" w:hAnsi="TT1915Ao00" w:cs="TT1915Ao00"/>
          <w:color w:val="000000" w:themeColor="text1"/>
          <w:lang w:eastAsia="en-GB"/>
        </w:rPr>
        <w:t xml:space="preserve"> </w:t>
      </w:r>
      <w:r w:rsidRPr="00563A61">
        <w:rPr>
          <w:rFonts w:ascii="TT1915Ao00" w:eastAsia="Cambria" w:hAnsi="TT1915Ao00" w:cs="TT1915Ao00"/>
          <w:color w:val="000000" w:themeColor="text1"/>
          <w:lang w:eastAsia="en-GB"/>
        </w:rPr>
        <w:t xml:space="preserve">target </w:t>
      </w:r>
      <w:r w:rsidRPr="00563A61">
        <w:rPr>
          <w:rFonts w:ascii="TT1915Do00" w:eastAsia="Cambria" w:hAnsi="TT1915Do00" w:cs="TT1915Do00"/>
          <w:color w:val="000000" w:themeColor="text1"/>
          <w:lang w:eastAsia="en-GB"/>
        </w:rPr>
        <w:t>at the effective date of any actuarial valuation, a recovery plan will be put in</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place, which requires additional contributions from the employer to meet the</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shortfall.</w:t>
      </w:r>
    </w:p>
    <w:p w:rsidR="00C80584" w:rsidRDefault="00C80584" w:rsidP="00612C1F">
      <w:pPr>
        <w:spacing w:after="0"/>
        <w:jc w:val="left"/>
        <w:rPr>
          <w:rFonts w:ascii="TT1915Do00" w:eastAsia="Cambria" w:hAnsi="TT1915Do00" w:cs="TT1915Do00"/>
          <w:color w:val="000000" w:themeColor="text1"/>
          <w:lang w:eastAsia="en-GB"/>
        </w:rPr>
      </w:pPr>
    </w:p>
    <w:p w:rsidR="00C80584" w:rsidRDefault="00C80584" w:rsidP="00612C1F">
      <w:pPr>
        <w:spacing w:after="0"/>
        <w:jc w:val="left"/>
        <w:rPr>
          <w:rFonts w:ascii="TT1915Do00" w:eastAsia="Cambria" w:hAnsi="TT1915Do00" w:cs="TT1915Do00"/>
          <w:color w:val="000000" w:themeColor="text1"/>
          <w:lang w:eastAsia="en-GB"/>
        </w:rPr>
      </w:pPr>
      <w:r w:rsidRPr="00C80584">
        <w:rPr>
          <w:rFonts w:ascii="TT1915Do00" w:eastAsia="Cambria" w:hAnsi="TT1915Do00" w:cs="TT1915Do00"/>
          <w:color w:val="000000" w:themeColor="text1"/>
          <w:lang w:eastAsia="en-GB"/>
        </w:rPr>
        <w:t>Additional contributions will be expressed as annual monetary lump sums, subject to review based on the resul</w:t>
      </w:r>
      <w:r>
        <w:rPr>
          <w:rFonts w:ascii="TT1915Do00" w:eastAsia="Cambria" w:hAnsi="TT1915Do00" w:cs="TT1915Do00"/>
          <w:color w:val="000000" w:themeColor="text1"/>
          <w:lang w:eastAsia="en-GB"/>
        </w:rPr>
        <w:t>ts of each actuarial valuation.</w:t>
      </w:r>
    </w:p>
    <w:p w:rsidR="00C80584" w:rsidRDefault="00C80584" w:rsidP="00612C1F">
      <w:pPr>
        <w:spacing w:after="0"/>
        <w:jc w:val="left"/>
        <w:rPr>
          <w:rFonts w:ascii="TT1915Do00" w:eastAsia="Cambria" w:hAnsi="TT1915Do00" w:cs="TT1915Do00"/>
          <w:color w:val="000000" w:themeColor="text1"/>
          <w:lang w:eastAsia="en-GB"/>
        </w:rPr>
      </w:pPr>
    </w:p>
    <w:p w:rsidR="00612C1F" w:rsidRDefault="00612C1F" w:rsidP="00612C1F">
      <w:pPr>
        <w:spacing w:after="0"/>
        <w:jc w:val="left"/>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In determining the actual recovery period to apply for any particular employer or</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employer grouping, the Administering Authority may take into account some or all</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of the following factors:</w:t>
      </w:r>
    </w:p>
    <w:p w:rsidR="00563A61" w:rsidRPr="00563A61" w:rsidRDefault="00563A61" w:rsidP="00612C1F">
      <w:pPr>
        <w:spacing w:after="0"/>
        <w:jc w:val="left"/>
        <w:rPr>
          <w:rFonts w:ascii="TT1915Do00" w:eastAsia="Cambria" w:hAnsi="TT1915Do00" w:cs="TT1915Do00"/>
          <w:color w:val="000000" w:themeColor="text1"/>
          <w:lang w:eastAsia="en-GB"/>
        </w:rPr>
      </w:pPr>
    </w:p>
    <w:p w:rsidR="00612C1F" w:rsidRPr="00563A61" w:rsidRDefault="00612C1F" w:rsidP="007D4DD7">
      <w:pPr>
        <w:numPr>
          <w:ilvl w:val="3"/>
          <w:numId w:val="25"/>
        </w:numPr>
        <w:tabs>
          <w:tab w:val="clear" w:pos="2880"/>
          <w:tab w:val="left" w:pos="540"/>
          <w:tab w:val="num" w:pos="1080"/>
        </w:tabs>
        <w:autoSpaceDE/>
        <w:autoSpaceDN/>
        <w:adjustRightInd/>
        <w:spacing w:after="0"/>
        <w:ind w:left="1080" w:hanging="540"/>
        <w:jc w:val="left"/>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the size of the funding shortfall;</w:t>
      </w:r>
    </w:p>
    <w:p w:rsidR="00612C1F" w:rsidRPr="00563A61" w:rsidRDefault="00612C1F" w:rsidP="007D4DD7">
      <w:pPr>
        <w:numPr>
          <w:ilvl w:val="3"/>
          <w:numId w:val="25"/>
        </w:numPr>
        <w:tabs>
          <w:tab w:val="clear" w:pos="2880"/>
          <w:tab w:val="left" w:pos="540"/>
          <w:tab w:val="num" w:pos="1080"/>
        </w:tabs>
        <w:autoSpaceDE/>
        <w:autoSpaceDN/>
        <w:adjustRightInd/>
        <w:spacing w:after="0"/>
        <w:ind w:left="1080" w:hanging="540"/>
        <w:jc w:val="left"/>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the business plans of the employer;</w:t>
      </w:r>
    </w:p>
    <w:p w:rsidR="00612C1F" w:rsidRPr="00563A61" w:rsidRDefault="00612C1F" w:rsidP="007D4DD7">
      <w:pPr>
        <w:numPr>
          <w:ilvl w:val="3"/>
          <w:numId w:val="25"/>
        </w:numPr>
        <w:tabs>
          <w:tab w:val="clear" w:pos="2880"/>
          <w:tab w:val="left" w:pos="540"/>
          <w:tab w:val="num" w:pos="1080"/>
        </w:tabs>
        <w:autoSpaceDE/>
        <w:autoSpaceDN/>
        <w:adjustRightInd/>
        <w:spacing w:after="0"/>
        <w:ind w:left="1080" w:hanging="540"/>
        <w:jc w:val="left"/>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the assessment of the financial covenant of the Employer</w:t>
      </w:r>
      <w:r w:rsidR="00C80584" w:rsidRPr="00C80584">
        <w:rPr>
          <w:rFonts w:cs="Arial"/>
        </w:rPr>
        <w:t xml:space="preserve"> </w:t>
      </w:r>
      <w:r w:rsidR="00C80584">
        <w:rPr>
          <w:rFonts w:cs="Arial"/>
        </w:rPr>
        <w:t>and the security of future income streams</w:t>
      </w:r>
      <w:r w:rsidRPr="00563A61">
        <w:rPr>
          <w:rFonts w:ascii="TT1915Do00" w:eastAsia="Cambria" w:hAnsi="TT1915Do00" w:cs="TT1915Do00"/>
          <w:color w:val="000000" w:themeColor="text1"/>
          <w:lang w:eastAsia="en-GB"/>
        </w:rPr>
        <w:t>;</w:t>
      </w:r>
    </w:p>
    <w:p w:rsidR="00612C1F" w:rsidRDefault="00612C1F" w:rsidP="007D4DD7">
      <w:pPr>
        <w:numPr>
          <w:ilvl w:val="3"/>
          <w:numId w:val="25"/>
        </w:numPr>
        <w:tabs>
          <w:tab w:val="clear" w:pos="2880"/>
          <w:tab w:val="left" w:pos="540"/>
          <w:tab w:val="num" w:pos="1080"/>
        </w:tabs>
        <w:autoSpaceDE/>
        <w:autoSpaceDN/>
        <w:adjustRightInd/>
        <w:spacing w:after="0"/>
        <w:ind w:left="1080" w:hanging="540"/>
        <w:jc w:val="left"/>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any contingent security available to the Fund or offered by the Employer such as</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guarantor or bond arrangements, charge over assets, etc.</w:t>
      </w:r>
    </w:p>
    <w:p w:rsidR="00C80584" w:rsidRDefault="00C80584" w:rsidP="007D4DD7">
      <w:pPr>
        <w:numPr>
          <w:ilvl w:val="3"/>
          <w:numId w:val="25"/>
        </w:numPr>
        <w:tabs>
          <w:tab w:val="clear" w:pos="2880"/>
          <w:tab w:val="left" w:pos="540"/>
          <w:tab w:val="num" w:pos="1080"/>
        </w:tabs>
        <w:autoSpaceDE/>
        <w:autoSpaceDN/>
        <w:adjustRightInd/>
        <w:spacing w:after="0"/>
        <w:ind w:left="1080" w:hanging="540"/>
        <w:jc w:val="left"/>
        <w:rPr>
          <w:rFonts w:ascii="TT1915Do00" w:eastAsia="Cambria" w:hAnsi="TT1915Do00" w:cs="TT1915Do00"/>
          <w:color w:val="000000" w:themeColor="text1"/>
          <w:lang w:eastAsia="en-GB"/>
        </w:rPr>
      </w:pPr>
      <w:r>
        <w:rPr>
          <w:rFonts w:ascii="TT1915Do00" w:eastAsia="Cambria" w:hAnsi="TT1915Do00" w:cs="TT1915Do00"/>
          <w:color w:val="000000" w:themeColor="text1"/>
          <w:lang w:eastAsia="en-GB"/>
        </w:rPr>
        <w:t>length</w:t>
      </w:r>
      <w:r>
        <w:rPr>
          <w:rFonts w:cs="Arial"/>
        </w:rPr>
        <w:t xml:space="preserve"> of expected period of participation in the Fund.</w:t>
      </w:r>
    </w:p>
    <w:p w:rsidR="00C80584" w:rsidRPr="00C80584" w:rsidRDefault="00C80584" w:rsidP="00C80584">
      <w:pPr>
        <w:spacing w:after="0"/>
        <w:jc w:val="left"/>
        <w:rPr>
          <w:rFonts w:ascii="TT1915Ao00" w:eastAsia="Cambria" w:hAnsi="TT1915Ao00" w:cs="TT1915Ao00"/>
          <w:color w:val="000000" w:themeColor="text1"/>
          <w:lang w:eastAsia="en-GB"/>
        </w:rPr>
      </w:pPr>
    </w:p>
    <w:p w:rsidR="00C80584" w:rsidRPr="00C80584" w:rsidRDefault="00C80584" w:rsidP="00C80584">
      <w:pPr>
        <w:spacing w:after="0"/>
        <w:jc w:val="left"/>
        <w:rPr>
          <w:rFonts w:ascii="TT1915Ao00" w:eastAsia="Cambria" w:hAnsi="TT1915Ao00" w:cs="TT1915Ao00"/>
          <w:color w:val="000000" w:themeColor="text1"/>
          <w:lang w:eastAsia="en-GB"/>
        </w:rPr>
      </w:pPr>
      <w:r w:rsidRPr="00C80584">
        <w:rPr>
          <w:rFonts w:ascii="TT1915Ao00" w:eastAsia="Cambria" w:hAnsi="TT1915Ao00" w:cs="TT1915Ao00"/>
          <w:color w:val="000000" w:themeColor="text1"/>
          <w:lang w:eastAsia="en-GB"/>
        </w:rPr>
        <w:t>The assumptions to be used in these Recovery Plan calculations are set out in Annex 1.</w:t>
      </w:r>
    </w:p>
    <w:p w:rsidR="00157CEA" w:rsidRPr="00563A61" w:rsidRDefault="00157CEA" w:rsidP="00612C1F">
      <w:pPr>
        <w:spacing w:after="0"/>
        <w:jc w:val="left"/>
        <w:rPr>
          <w:rFonts w:ascii="TT1915Do00" w:eastAsia="Cambria" w:hAnsi="TT1915Do00" w:cs="TT1915Do00"/>
          <w:color w:val="000000" w:themeColor="text1"/>
          <w:lang w:eastAsia="en-GB"/>
        </w:rPr>
      </w:pPr>
    </w:p>
    <w:p w:rsidR="00157CEA" w:rsidRPr="00563A61" w:rsidRDefault="00157CEA" w:rsidP="00612C1F">
      <w:pPr>
        <w:spacing w:after="0"/>
        <w:jc w:val="left"/>
        <w:rPr>
          <w:rFonts w:ascii="TT1915Ao00" w:eastAsia="Cambria" w:hAnsi="TT1915Ao00" w:cs="TT1915Ao00"/>
          <w:color w:val="000000" w:themeColor="text1"/>
          <w:lang w:eastAsia="en-GB"/>
        </w:rPr>
      </w:pPr>
    </w:p>
    <w:p w:rsidR="00612C1F" w:rsidRPr="00C80584" w:rsidRDefault="00612C1F" w:rsidP="00612C1F">
      <w:pPr>
        <w:spacing w:after="0"/>
        <w:jc w:val="left"/>
        <w:rPr>
          <w:rFonts w:ascii="TT1915Ao00" w:eastAsia="Cambria" w:hAnsi="TT1915Ao00" w:cs="TT1915Ao00"/>
          <w:b/>
          <w:color w:val="000000" w:themeColor="text1"/>
          <w:lang w:eastAsia="en-GB"/>
        </w:rPr>
      </w:pPr>
      <w:r w:rsidRPr="00C80584">
        <w:rPr>
          <w:rFonts w:ascii="TT1915Ao00" w:eastAsia="Cambria" w:hAnsi="TT1915Ao00" w:cs="TT1915Ao00"/>
          <w:b/>
          <w:color w:val="000000" w:themeColor="text1"/>
          <w:lang w:eastAsia="en-GB"/>
        </w:rPr>
        <w:t>The normal cost of the scheme (future service contribution rate)</w:t>
      </w:r>
    </w:p>
    <w:p w:rsidR="00157CEA" w:rsidRPr="00563A61" w:rsidRDefault="00157CEA" w:rsidP="00612C1F">
      <w:pPr>
        <w:spacing w:after="0"/>
        <w:jc w:val="left"/>
        <w:rPr>
          <w:rFonts w:ascii="TT1915Do00" w:eastAsia="Cambria" w:hAnsi="TT1915Do00" w:cs="TT1915Do00"/>
          <w:color w:val="000000" w:themeColor="text1"/>
          <w:lang w:eastAsia="en-GB"/>
        </w:rPr>
      </w:pPr>
    </w:p>
    <w:p w:rsidR="00612C1F" w:rsidRPr="00563A61" w:rsidRDefault="00612C1F" w:rsidP="00612C1F">
      <w:pPr>
        <w:spacing w:after="0"/>
        <w:jc w:val="left"/>
        <w:rPr>
          <w:rFonts w:ascii="TT1915Do00" w:eastAsia="Cambria" w:hAnsi="TT1915Do00" w:cs="TT1915Do00"/>
          <w:color w:val="000000" w:themeColor="text1"/>
          <w:lang w:eastAsia="en-GB"/>
        </w:rPr>
      </w:pPr>
      <w:r w:rsidRPr="00563A61">
        <w:rPr>
          <w:rFonts w:ascii="TT1915Do00" w:eastAsia="Cambria" w:hAnsi="TT1915Do00" w:cs="TT1915Do00"/>
          <w:color w:val="000000" w:themeColor="text1"/>
          <w:lang w:eastAsia="en-GB"/>
        </w:rPr>
        <w:t>In addition to any contributions required to rectify a shortfall of assets below the</w:t>
      </w:r>
      <w:r w:rsidR="00157CEA" w:rsidRPr="00563A61">
        <w:rPr>
          <w:rFonts w:ascii="TT1915Do00" w:eastAsia="Cambria" w:hAnsi="TT1915Do00" w:cs="TT1915Do00"/>
          <w:color w:val="000000" w:themeColor="text1"/>
          <w:lang w:eastAsia="en-GB"/>
        </w:rPr>
        <w:t xml:space="preserve"> </w:t>
      </w:r>
      <w:r w:rsidRPr="00563A61">
        <w:rPr>
          <w:rFonts w:ascii="TT1915Ao00" w:eastAsia="Cambria" w:hAnsi="TT1915Ao00" w:cs="TT1915Ao00"/>
          <w:color w:val="000000" w:themeColor="text1"/>
          <w:lang w:eastAsia="en-GB"/>
        </w:rPr>
        <w:t xml:space="preserve">funding target </w:t>
      </w:r>
      <w:r w:rsidRPr="00563A61">
        <w:rPr>
          <w:rFonts w:ascii="TT1915Do00" w:eastAsia="Cambria" w:hAnsi="TT1915Do00" w:cs="TT1915Do00"/>
          <w:color w:val="000000" w:themeColor="text1"/>
          <w:lang w:eastAsia="en-GB"/>
        </w:rPr>
        <w:t>contributions will be required to meet the cost of future accrual of</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benefits for members after the valuation date (the “normal cost”). The method and</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assumptions for assessing these contributions are also set out in Annex 1.</w:t>
      </w:r>
    </w:p>
    <w:p w:rsidR="007D4DD7" w:rsidRDefault="007D4DD7">
      <w:pPr>
        <w:autoSpaceDE/>
        <w:autoSpaceDN/>
        <w:adjustRightInd/>
        <w:spacing w:after="0"/>
        <w:jc w:val="left"/>
        <w:rPr>
          <w:rFonts w:ascii="TT1915Ao00" w:eastAsia="Cambria" w:hAnsi="TT1915Ao00" w:cs="TT1915Ao00"/>
          <w:color w:val="FF0000"/>
          <w:lang w:eastAsia="en-GB"/>
        </w:rPr>
      </w:pPr>
      <w:r>
        <w:rPr>
          <w:rFonts w:ascii="TT1915Ao00" w:eastAsia="Cambria" w:hAnsi="TT1915Ao00" w:cs="TT1915Ao00"/>
          <w:color w:val="FF0000"/>
          <w:lang w:eastAsia="en-GB"/>
        </w:rPr>
        <w:br w:type="page"/>
      </w:r>
    </w:p>
    <w:p w:rsidR="00563A61" w:rsidRPr="0088225E" w:rsidRDefault="00563A61" w:rsidP="00612C1F">
      <w:pPr>
        <w:spacing w:after="0"/>
        <w:jc w:val="left"/>
        <w:rPr>
          <w:rFonts w:ascii="TT1915Ao00" w:eastAsia="Cambria" w:hAnsi="TT1915Ao00" w:cs="TT1915Ao00"/>
          <w:color w:val="FF0000"/>
          <w:lang w:eastAsia="en-GB"/>
        </w:rPr>
      </w:pPr>
    </w:p>
    <w:p w:rsidR="00612C1F" w:rsidRPr="006E4A0D" w:rsidRDefault="00612C1F" w:rsidP="00612C1F">
      <w:pPr>
        <w:spacing w:after="0"/>
        <w:jc w:val="left"/>
        <w:rPr>
          <w:rFonts w:ascii="TT1915Do00" w:eastAsia="Cambria" w:hAnsi="TT1915Do00" w:cs="TT1915Do00"/>
          <w:b/>
          <w:color w:val="auto"/>
          <w:lang w:eastAsia="en-GB"/>
        </w:rPr>
      </w:pPr>
      <w:r w:rsidRPr="006E4A0D">
        <w:rPr>
          <w:rFonts w:ascii="TT1915Do00" w:eastAsia="Cambria" w:hAnsi="TT1915Do00" w:cs="TT1915Do00"/>
          <w:b/>
          <w:color w:val="auto"/>
          <w:lang w:eastAsia="en-GB"/>
        </w:rPr>
        <w:t>6. Link to investment policy set out in the Statement of Investment Principles</w:t>
      </w:r>
    </w:p>
    <w:p w:rsidR="00157CEA" w:rsidRPr="00E54973" w:rsidRDefault="00157CEA" w:rsidP="00612C1F">
      <w:pPr>
        <w:spacing w:after="0"/>
        <w:jc w:val="left"/>
        <w:rPr>
          <w:rFonts w:ascii="TT1915Do00" w:eastAsia="Cambria" w:hAnsi="TT1915Do00" w:cs="TT1915Do00"/>
          <w:color w:val="auto"/>
          <w:lang w:eastAsia="en-GB"/>
        </w:rPr>
      </w:pPr>
    </w:p>
    <w:p w:rsidR="00612C1F" w:rsidRPr="00E54973" w:rsidRDefault="00612C1F" w:rsidP="00612C1F">
      <w:pPr>
        <w:spacing w:after="0"/>
        <w:jc w:val="left"/>
        <w:rPr>
          <w:rFonts w:ascii="TT1915Do00" w:eastAsia="Cambria" w:hAnsi="TT1915Do00" w:cs="TT1915Do00"/>
          <w:color w:val="auto"/>
          <w:lang w:eastAsia="en-GB"/>
        </w:rPr>
      </w:pPr>
      <w:r w:rsidRPr="00E54973">
        <w:rPr>
          <w:rFonts w:ascii="TT1915Do00" w:eastAsia="Cambria" w:hAnsi="TT1915Do00" w:cs="TT1915Do00"/>
          <w:color w:val="auto"/>
          <w:lang w:eastAsia="en-GB"/>
        </w:rPr>
        <w:t>The results of the 201</w:t>
      </w:r>
      <w:r w:rsidR="00E54973" w:rsidRPr="00E54973">
        <w:rPr>
          <w:rFonts w:ascii="TT1915Do00" w:eastAsia="Cambria" w:hAnsi="TT1915Do00" w:cs="TT1915Do00"/>
          <w:color w:val="auto"/>
          <w:lang w:eastAsia="en-GB"/>
        </w:rPr>
        <w:t>3</w:t>
      </w:r>
      <w:r w:rsidRPr="00E54973">
        <w:rPr>
          <w:rFonts w:ascii="TT1915Do00" w:eastAsia="Cambria" w:hAnsi="TT1915Do00" w:cs="TT1915Do00"/>
          <w:color w:val="auto"/>
          <w:lang w:eastAsia="en-GB"/>
        </w:rPr>
        <w:t xml:space="preserve"> valuation show the liabilities to be </w:t>
      </w:r>
      <w:r w:rsidR="00E54973" w:rsidRPr="00E54973">
        <w:rPr>
          <w:rFonts w:ascii="TT1915Do00" w:eastAsia="Cambria" w:hAnsi="TT1915Do00" w:cs="TT1915Do00"/>
          <w:color w:val="auto"/>
          <w:lang w:eastAsia="en-GB"/>
        </w:rPr>
        <w:t>7</w:t>
      </w:r>
      <w:r w:rsidR="005E69B0">
        <w:rPr>
          <w:rFonts w:ascii="TT1915Do00" w:eastAsia="Cambria" w:hAnsi="TT1915Do00" w:cs="TT1915Do00"/>
          <w:color w:val="auto"/>
          <w:lang w:eastAsia="en-GB"/>
        </w:rPr>
        <w:t>8</w:t>
      </w:r>
      <w:r w:rsidRPr="00E54973">
        <w:rPr>
          <w:rFonts w:ascii="TT1915Do00" w:eastAsia="Cambria" w:hAnsi="TT1915Do00" w:cs="TT1915Do00"/>
          <w:color w:val="auto"/>
          <w:lang w:eastAsia="en-GB"/>
        </w:rPr>
        <w:t>% covered by the</w:t>
      </w:r>
      <w:r w:rsidR="00157CEA" w:rsidRPr="00E54973">
        <w:rPr>
          <w:rFonts w:ascii="TT1915Do00" w:eastAsia="Cambria" w:hAnsi="TT1915Do00" w:cs="TT1915Do00"/>
          <w:color w:val="auto"/>
          <w:lang w:eastAsia="en-GB"/>
        </w:rPr>
        <w:t xml:space="preserve"> </w:t>
      </w:r>
      <w:r w:rsidRPr="00E54973">
        <w:rPr>
          <w:rFonts w:ascii="TT1915Do00" w:eastAsia="Cambria" w:hAnsi="TT1915Do00" w:cs="TT1915Do00"/>
          <w:color w:val="auto"/>
          <w:lang w:eastAsia="en-GB"/>
        </w:rPr>
        <w:t>current assets, with the funding deficit of 2</w:t>
      </w:r>
      <w:r w:rsidR="005E69B0">
        <w:rPr>
          <w:rFonts w:ascii="TT1915Do00" w:eastAsia="Cambria" w:hAnsi="TT1915Do00" w:cs="TT1915Do00"/>
          <w:color w:val="auto"/>
          <w:lang w:eastAsia="en-GB"/>
        </w:rPr>
        <w:t>2</w:t>
      </w:r>
      <w:r w:rsidRPr="00E54973">
        <w:rPr>
          <w:rFonts w:ascii="TT1915Do00" w:eastAsia="Cambria" w:hAnsi="TT1915Do00" w:cs="TT1915Do00"/>
          <w:color w:val="auto"/>
          <w:lang w:eastAsia="en-GB"/>
        </w:rPr>
        <w:t>% being covered by future deficit</w:t>
      </w:r>
      <w:r w:rsidR="00157CEA" w:rsidRPr="00E54973">
        <w:rPr>
          <w:rFonts w:ascii="TT1915Do00" w:eastAsia="Cambria" w:hAnsi="TT1915Do00" w:cs="TT1915Do00"/>
          <w:color w:val="auto"/>
          <w:lang w:eastAsia="en-GB"/>
        </w:rPr>
        <w:t xml:space="preserve"> </w:t>
      </w:r>
      <w:r w:rsidRPr="00E54973">
        <w:rPr>
          <w:rFonts w:ascii="TT1915Do00" w:eastAsia="Cambria" w:hAnsi="TT1915Do00" w:cs="TT1915Do00"/>
          <w:color w:val="auto"/>
          <w:lang w:eastAsia="en-GB"/>
        </w:rPr>
        <w:t>contributions due from the participating employers.</w:t>
      </w:r>
    </w:p>
    <w:p w:rsidR="00157CEA" w:rsidRPr="00E54973" w:rsidRDefault="00157CEA" w:rsidP="00612C1F">
      <w:pPr>
        <w:spacing w:after="0"/>
        <w:jc w:val="left"/>
        <w:rPr>
          <w:rFonts w:ascii="TT1915Do00" w:eastAsia="Cambria" w:hAnsi="TT1915Do00" w:cs="TT1915Do00"/>
          <w:color w:val="auto"/>
          <w:lang w:eastAsia="en-GB"/>
        </w:rPr>
      </w:pPr>
    </w:p>
    <w:p w:rsidR="00612C1F" w:rsidRPr="00E54973" w:rsidRDefault="00612C1F" w:rsidP="00612C1F">
      <w:pPr>
        <w:spacing w:after="0"/>
        <w:jc w:val="left"/>
        <w:rPr>
          <w:rFonts w:ascii="TT1915Do00" w:eastAsia="Cambria" w:hAnsi="TT1915Do00" w:cs="TT1915Do00"/>
          <w:color w:val="auto"/>
          <w:lang w:eastAsia="en-GB"/>
        </w:rPr>
      </w:pPr>
      <w:r w:rsidRPr="00E54973">
        <w:rPr>
          <w:rFonts w:ascii="TT1915Do00" w:eastAsia="Cambria" w:hAnsi="TT1915Do00" w:cs="TT1915Do00"/>
          <w:color w:val="auto"/>
          <w:lang w:eastAsia="en-GB"/>
        </w:rPr>
        <w:t>In assessing the value of the Scheme’s liabilities in the Valuation, allowance has</w:t>
      </w:r>
      <w:r w:rsidR="00157CEA" w:rsidRPr="00E54973">
        <w:rPr>
          <w:rFonts w:ascii="TT1915Do00" w:eastAsia="Cambria" w:hAnsi="TT1915Do00" w:cs="TT1915Do00"/>
          <w:color w:val="auto"/>
          <w:lang w:eastAsia="en-GB"/>
        </w:rPr>
        <w:t xml:space="preserve"> </w:t>
      </w:r>
      <w:r w:rsidRPr="00E54973">
        <w:rPr>
          <w:rFonts w:ascii="TT1915Do00" w:eastAsia="Cambria" w:hAnsi="TT1915Do00" w:cs="TT1915Do00"/>
          <w:color w:val="auto"/>
          <w:lang w:eastAsia="en-GB"/>
        </w:rPr>
        <w:t xml:space="preserve">been made for asset out-performance as described in </w:t>
      </w:r>
      <w:r w:rsidR="00E54973" w:rsidRPr="00E54973">
        <w:rPr>
          <w:rFonts w:ascii="TT1915Do00" w:eastAsia="Cambria" w:hAnsi="TT1915Do00" w:cs="TT1915Do00"/>
          <w:color w:val="auto"/>
          <w:lang w:eastAsia="en-GB"/>
        </w:rPr>
        <w:t>[</w:t>
      </w:r>
      <w:r w:rsidRPr="00E54973">
        <w:rPr>
          <w:rFonts w:ascii="TT1915Do00" w:eastAsia="Cambria" w:hAnsi="TT1915Do00" w:cs="TT1915Do00"/>
          <w:color w:val="auto"/>
          <w:lang w:eastAsia="en-GB"/>
        </w:rPr>
        <w:t>Annex 1</w:t>
      </w:r>
      <w:r w:rsidR="00E54973" w:rsidRPr="00E54973">
        <w:rPr>
          <w:rFonts w:ascii="TT1915Do00" w:eastAsia="Cambria" w:hAnsi="TT1915Do00" w:cs="TT1915Do00"/>
          <w:color w:val="auto"/>
          <w:lang w:eastAsia="en-GB"/>
        </w:rPr>
        <w:t>]</w:t>
      </w:r>
      <w:r w:rsidRPr="00E54973">
        <w:rPr>
          <w:rFonts w:ascii="TT1915Do00" w:eastAsia="Cambria" w:hAnsi="TT1915Do00" w:cs="TT1915Do00"/>
          <w:color w:val="auto"/>
          <w:lang w:eastAsia="en-GB"/>
        </w:rPr>
        <w:t>, taking into account</w:t>
      </w:r>
      <w:r w:rsidR="00157CEA" w:rsidRPr="00E54973">
        <w:rPr>
          <w:rFonts w:ascii="TT1915Do00" w:eastAsia="Cambria" w:hAnsi="TT1915Do00" w:cs="TT1915Do00"/>
          <w:color w:val="auto"/>
          <w:lang w:eastAsia="en-GB"/>
        </w:rPr>
        <w:t xml:space="preserve"> </w:t>
      </w:r>
      <w:r w:rsidRPr="00E54973">
        <w:rPr>
          <w:rFonts w:ascii="TT1915Do00" w:eastAsia="Cambria" w:hAnsi="TT1915Do00" w:cs="TT1915Do00"/>
          <w:color w:val="auto"/>
          <w:lang w:eastAsia="en-GB"/>
        </w:rPr>
        <w:t>the investment strategy adopted by the Scheme, as set out in the SIP.</w:t>
      </w:r>
    </w:p>
    <w:p w:rsidR="00157CEA" w:rsidRPr="00E54973" w:rsidRDefault="00157CEA" w:rsidP="00612C1F">
      <w:pPr>
        <w:spacing w:after="0"/>
        <w:jc w:val="left"/>
        <w:rPr>
          <w:rFonts w:ascii="TT1915Do00" w:eastAsia="Cambria" w:hAnsi="TT1915Do00" w:cs="TT1915Do00"/>
          <w:color w:val="auto"/>
          <w:lang w:eastAsia="en-GB"/>
        </w:rPr>
      </w:pPr>
    </w:p>
    <w:p w:rsidR="00612C1F" w:rsidRPr="00E54973" w:rsidRDefault="00612C1F" w:rsidP="00612C1F">
      <w:pPr>
        <w:spacing w:after="0"/>
        <w:jc w:val="left"/>
        <w:rPr>
          <w:rFonts w:ascii="TT1915Do00" w:eastAsia="Cambria" w:hAnsi="TT1915Do00" w:cs="TT1915Do00"/>
          <w:color w:val="auto"/>
          <w:lang w:eastAsia="en-GB"/>
        </w:rPr>
      </w:pPr>
      <w:r w:rsidRPr="00E54973">
        <w:rPr>
          <w:rFonts w:ascii="TT1915Do00" w:eastAsia="Cambria" w:hAnsi="TT1915Do00" w:cs="TT1915Do00"/>
          <w:color w:val="auto"/>
          <w:lang w:eastAsia="en-GB"/>
        </w:rPr>
        <w:t>It is not possible to construct a portfolio of investments which produces a stream of</w:t>
      </w:r>
      <w:r w:rsidR="00157CEA" w:rsidRPr="00E54973">
        <w:rPr>
          <w:rFonts w:ascii="TT1915Do00" w:eastAsia="Cambria" w:hAnsi="TT1915Do00" w:cs="TT1915Do00"/>
          <w:color w:val="auto"/>
          <w:lang w:eastAsia="en-GB"/>
        </w:rPr>
        <w:t xml:space="preserve"> </w:t>
      </w:r>
      <w:r w:rsidRPr="00E54973">
        <w:rPr>
          <w:rFonts w:ascii="TT1915Do00" w:eastAsia="Cambria" w:hAnsi="TT1915Do00" w:cs="TT1915Do00"/>
          <w:color w:val="auto"/>
          <w:lang w:eastAsia="en-GB"/>
        </w:rPr>
        <w:t>income exactly matching the expected liability outgoings. However, it is possible to</w:t>
      </w:r>
      <w:r w:rsidR="00157CEA" w:rsidRPr="00E54973">
        <w:rPr>
          <w:rFonts w:ascii="TT1915Do00" w:eastAsia="Cambria" w:hAnsi="TT1915Do00" w:cs="TT1915Do00"/>
          <w:color w:val="auto"/>
          <w:lang w:eastAsia="en-GB"/>
        </w:rPr>
        <w:t xml:space="preserve"> </w:t>
      </w:r>
      <w:r w:rsidRPr="00E54973">
        <w:rPr>
          <w:rFonts w:ascii="TT1915Do00" w:eastAsia="Cambria" w:hAnsi="TT1915Do00" w:cs="TT1915Do00"/>
          <w:color w:val="auto"/>
          <w:lang w:eastAsia="en-GB"/>
        </w:rPr>
        <w:t>construct a portfolio which closely matches the liabilities and represents the least</w:t>
      </w:r>
      <w:r w:rsidR="00157CEA" w:rsidRPr="00E54973">
        <w:rPr>
          <w:rFonts w:ascii="TT1915Do00" w:eastAsia="Cambria" w:hAnsi="TT1915Do00" w:cs="TT1915Do00"/>
          <w:color w:val="auto"/>
          <w:lang w:eastAsia="en-GB"/>
        </w:rPr>
        <w:t xml:space="preserve"> </w:t>
      </w:r>
      <w:r w:rsidRPr="00E54973">
        <w:rPr>
          <w:rFonts w:ascii="TT1915Do00" w:eastAsia="Cambria" w:hAnsi="TT1915Do00" w:cs="TT1915Do00"/>
          <w:color w:val="auto"/>
          <w:lang w:eastAsia="en-GB"/>
        </w:rPr>
        <w:t>risk investment position. Such a portfolio would consist of a mixture of long-term</w:t>
      </w:r>
      <w:r w:rsidR="00157CEA" w:rsidRPr="00E54973">
        <w:rPr>
          <w:rFonts w:ascii="TT1915Do00" w:eastAsia="Cambria" w:hAnsi="TT1915Do00" w:cs="TT1915Do00"/>
          <w:color w:val="auto"/>
          <w:lang w:eastAsia="en-GB"/>
        </w:rPr>
        <w:t xml:space="preserve"> </w:t>
      </w:r>
      <w:r w:rsidRPr="00E54973">
        <w:rPr>
          <w:rFonts w:ascii="TT1915Do00" w:eastAsia="Cambria" w:hAnsi="TT1915Do00" w:cs="TT1915Do00"/>
          <w:color w:val="auto"/>
          <w:lang w:eastAsia="en-GB"/>
        </w:rPr>
        <w:t>index-linked and fixed interest gilts.</w:t>
      </w:r>
    </w:p>
    <w:p w:rsidR="00157CEA" w:rsidRPr="00E54973" w:rsidRDefault="00157CEA" w:rsidP="00612C1F">
      <w:pPr>
        <w:spacing w:after="0"/>
        <w:jc w:val="left"/>
        <w:rPr>
          <w:rFonts w:ascii="TT1915Do00" w:eastAsia="Cambria" w:hAnsi="TT1915Do00" w:cs="TT1915Do00"/>
          <w:color w:val="auto"/>
          <w:lang w:eastAsia="en-GB"/>
        </w:rPr>
      </w:pPr>
    </w:p>
    <w:p w:rsidR="00612C1F" w:rsidRPr="00E54973" w:rsidRDefault="00612C1F" w:rsidP="00612C1F">
      <w:pPr>
        <w:spacing w:after="0"/>
        <w:jc w:val="left"/>
        <w:rPr>
          <w:rFonts w:ascii="TT1915Do00" w:eastAsia="Cambria" w:hAnsi="TT1915Do00" w:cs="TT1915Do00"/>
          <w:color w:val="auto"/>
          <w:lang w:eastAsia="en-GB"/>
        </w:rPr>
      </w:pPr>
      <w:r w:rsidRPr="00E54973">
        <w:rPr>
          <w:rFonts w:ascii="TT1915Do00" w:eastAsia="Cambria" w:hAnsi="TT1915Do00" w:cs="TT1915Do00"/>
          <w:color w:val="auto"/>
          <w:lang w:eastAsia="en-GB"/>
        </w:rPr>
        <w:t>Investment of the Scheme’s assets in line with the least risk portfolio would</w:t>
      </w:r>
      <w:r w:rsidR="00157CEA" w:rsidRPr="00E54973">
        <w:rPr>
          <w:rFonts w:ascii="TT1915Do00" w:eastAsia="Cambria" w:hAnsi="TT1915Do00" w:cs="TT1915Do00"/>
          <w:color w:val="auto"/>
          <w:lang w:eastAsia="en-GB"/>
        </w:rPr>
        <w:t xml:space="preserve"> </w:t>
      </w:r>
      <w:r w:rsidRPr="00E54973">
        <w:rPr>
          <w:rFonts w:ascii="TT1915Do00" w:eastAsia="Cambria" w:hAnsi="TT1915Do00" w:cs="TT1915Do00"/>
          <w:color w:val="auto"/>
          <w:lang w:eastAsia="en-GB"/>
        </w:rPr>
        <w:t>minimise fluctuations in the Scheme’s ongoing funding level between successive</w:t>
      </w:r>
      <w:r w:rsidR="00157CEA" w:rsidRPr="00E54973">
        <w:rPr>
          <w:rFonts w:ascii="TT1915Do00" w:eastAsia="Cambria" w:hAnsi="TT1915Do00" w:cs="TT1915Do00"/>
          <w:color w:val="auto"/>
          <w:lang w:eastAsia="en-GB"/>
        </w:rPr>
        <w:t xml:space="preserve"> </w:t>
      </w:r>
      <w:r w:rsidRPr="00E54973">
        <w:rPr>
          <w:rFonts w:ascii="TT1915Do00" w:eastAsia="Cambria" w:hAnsi="TT1915Do00" w:cs="TT1915Do00"/>
          <w:color w:val="auto"/>
          <w:lang w:eastAsia="en-GB"/>
        </w:rPr>
        <w:t>actuarial valuations, assuming that the scheme started in a fully funded position.</w:t>
      </w:r>
    </w:p>
    <w:p w:rsidR="00157CEA" w:rsidRPr="00E54973" w:rsidRDefault="00157CEA" w:rsidP="00612C1F">
      <w:pPr>
        <w:spacing w:after="0"/>
        <w:jc w:val="left"/>
        <w:rPr>
          <w:rFonts w:ascii="TT1915Do00" w:eastAsia="Cambria" w:hAnsi="TT1915Do00" w:cs="TT1915Do00"/>
          <w:color w:val="auto"/>
          <w:lang w:eastAsia="en-GB"/>
        </w:rPr>
      </w:pPr>
    </w:p>
    <w:p w:rsidR="00612C1F" w:rsidRPr="00E54973" w:rsidRDefault="00612C1F" w:rsidP="00612C1F">
      <w:pPr>
        <w:spacing w:after="0"/>
        <w:jc w:val="left"/>
        <w:rPr>
          <w:rFonts w:ascii="TT1915Do00" w:eastAsia="Cambria" w:hAnsi="TT1915Do00" w:cs="TT1915Do00"/>
          <w:color w:val="auto"/>
          <w:lang w:eastAsia="en-GB"/>
        </w:rPr>
      </w:pPr>
      <w:r w:rsidRPr="00E54973">
        <w:rPr>
          <w:rFonts w:ascii="TT1915Do00" w:eastAsia="Cambria" w:hAnsi="TT1915Do00" w:cs="TT1915Do00"/>
          <w:color w:val="auto"/>
          <w:lang w:eastAsia="en-GB"/>
        </w:rPr>
        <w:t>If, at the Valuation date, the Scheme had been invested in this portfolio, then in</w:t>
      </w:r>
      <w:r w:rsidR="00157CEA" w:rsidRPr="00E54973">
        <w:rPr>
          <w:rFonts w:ascii="TT1915Do00" w:eastAsia="Cambria" w:hAnsi="TT1915Do00" w:cs="TT1915Do00"/>
          <w:color w:val="auto"/>
          <w:lang w:eastAsia="en-GB"/>
        </w:rPr>
        <w:t xml:space="preserve"> </w:t>
      </w:r>
      <w:r w:rsidRPr="00E54973">
        <w:rPr>
          <w:rFonts w:ascii="TT1915Do00" w:eastAsia="Cambria" w:hAnsi="TT1915Do00" w:cs="TT1915Do00"/>
          <w:color w:val="auto"/>
          <w:lang w:eastAsia="en-GB"/>
        </w:rPr>
        <w:t>carrying out the Valuation it would not be appropriate to make any allowance for</w:t>
      </w:r>
      <w:r w:rsidR="00157CEA" w:rsidRPr="00E54973">
        <w:rPr>
          <w:rFonts w:ascii="TT1915Do00" w:eastAsia="Cambria" w:hAnsi="TT1915Do00" w:cs="TT1915Do00"/>
          <w:color w:val="auto"/>
          <w:lang w:eastAsia="en-GB"/>
        </w:rPr>
        <w:t xml:space="preserve"> </w:t>
      </w:r>
      <w:r w:rsidRPr="00E54973">
        <w:rPr>
          <w:rFonts w:ascii="TT1915Do00" w:eastAsia="Cambria" w:hAnsi="TT1915Do00" w:cs="TT1915Do00"/>
          <w:color w:val="auto"/>
          <w:lang w:eastAsia="en-GB"/>
        </w:rPr>
        <w:t>out-performance of the investments.</w:t>
      </w:r>
    </w:p>
    <w:p w:rsidR="00157CEA" w:rsidRPr="00E54973" w:rsidRDefault="00157CEA" w:rsidP="00612C1F">
      <w:pPr>
        <w:spacing w:after="0"/>
        <w:jc w:val="left"/>
        <w:rPr>
          <w:rFonts w:ascii="TT1915Do00" w:eastAsia="Cambria" w:hAnsi="TT1915Do00" w:cs="TT1915Do00"/>
          <w:color w:val="auto"/>
          <w:lang w:eastAsia="en-GB"/>
        </w:rPr>
      </w:pPr>
    </w:p>
    <w:p w:rsidR="00612C1F" w:rsidRPr="00E54973" w:rsidRDefault="00612C1F" w:rsidP="00612C1F">
      <w:pPr>
        <w:spacing w:after="0"/>
        <w:jc w:val="left"/>
        <w:rPr>
          <w:rFonts w:ascii="TT1915Do00" w:eastAsia="Cambria" w:hAnsi="TT1915Do00" w:cs="TT1915Do00"/>
          <w:color w:val="auto"/>
          <w:lang w:eastAsia="en-GB"/>
        </w:rPr>
      </w:pPr>
      <w:r w:rsidRPr="00E54973">
        <w:rPr>
          <w:rFonts w:ascii="TT1915Do00" w:eastAsia="Cambria" w:hAnsi="TT1915Do00" w:cs="TT1915Do00"/>
          <w:color w:val="auto"/>
          <w:lang w:eastAsia="en-GB"/>
        </w:rPr>
        <w:t>Departure from a least risk investment strategy, in particular to include equity</w:t>
      </w:r>
      <w:r w:rsidR="00157CEA" w:rsidRPr="00E54973">
        <w:rPr>
          <w:rFonts w:ascii="TT1915Do00" w:eastAsia="Cambria" w:hAnsi="TT1915Do00" w:cs="TT1915Do00"/>
          <w:color w:val="auto"/>
          <w:lang w:eastAsia="en-GB"/>
        </w:rPr>
        <w:t xml:space="preserve"> </w:t>
      </w:r>
      <w:r w:rsidRPr="00E54973">
        <w:rPr>
          <w:rFonts w:ascii="TT1915Do00" w:eastAsia="Cambria" w:hAnsi="TT1915Do00" w:cs="TT1915Do00"/>
          <w:color w:val="auto"/>
          <w:lang w:eastAsia="en-GB"/>
        </w:rPr>
        <w:t>investments, gives the prospect that out-performance by the assets will, over time,</w:t>
      </w:r>
      <w:r w:rsidR="00157CEA" w:rsidRPr="00E54973">
        <w:rPr>
          <w:rFonts w:ascii="TT1915Do00" w:eastAsia="Cambria" w:hAnsi="TT1915Do00" w:cs="TT1915Do00"/>
          <w:color w:val="auto"/>
          <w:lang w:eastAsia="en-GB"/>
        </w:rPr>
        <w:t xml:space="preserve"> </w:t>
      </w:r>
      <w:r w:rsidRPr="00E54973">
        <w:rPr>
          <w:rFonts w:ascii="TT1915Do00" w:eastAsia="Cambria" w:hAnsi="TT1915Do00" w:cs="TT1915Do00"/>
          <w:color w:val="auto"/>
          <w:lang w:eastAsia="en-GB"/>
        </w:rPr>
        <w:t>reduce the contribution requirements. The funding target might in practice</w:t>
      </w:r>
      <w:r w:rsidR="00157CEA" w:rsidRPr="00E54973">
        <w:rPr>
          <w:rFonts w:ascii="TT1915Do00" w:eastAsia="Cambria" w:hAnsi="TT1915Do00" w:cs="TT1915Do00"/>
          <w:color w:val="auto"/>
          <w:lang w:eastAsia="en-GB"/>
        </w:rPr>
        <w:t xml:space="preserve"> </w:t>
      </w:r>
      <w:r w:rsidRPr="00E54973">
        <w:rPr>
          <w:rFonts w:ascii="TT1915Do00" w:eastAsia="Cambria" w:hAnsi="TT1915Do00" w:cs="TT1915Do00"/>
          <w:color w:val="auto"/>
          <w:lang w:eastAsia="en-GB"/>
        </w:rPr>
        <w:t>therefore be achieved by a range of combinations of funding plan, investment</w:t>
      </w:r>
      <w:r w:rsidR="00157CEA" w:rsidRPr="00E54973">
        <w:rPr>
          <w:rFonts w:ascii="TT1915Do00" w:eastAsia="Cambria" w:hAnsi="TT1915Do00" w:cs="TT1915Do00"/>
          <w:color w:val="auto"/>
          <w:lang w:eastAsia="en-GB"/>
        </w:rPr>
        <w:t xml:space="preserve"> </w:t>
      </w:r>
      <w:r w:rsidRPr="00E54973">
        <w:rPr>
          <w:rFonts w:ascii="TT1915Do00" w:eastAsia="Cambria" w:hAnsi="TT1915Do00" w:cs="TT1915Do00"/>
          <w:color w:val="auto"/>
          <w:lang w:eastAsia="en-GB"/>
        </w:rPr>
        <w:t>strategy and investment performance.</w:t>
      </w:r>
    </w:p>
    <w:p w:rsidR="00157CEA" w:rsidRPr="00E54973" w:rsidRDefault="00157CEA" w:rsidP="00612C1F">
      <w:pPr>
        <w:spacing w:after="0"/>
        <w:jc w:val="left"/>
        <w:rPr>
          <w:rFonts w:ascii="TT1915Do00" w:eastAsia="Cambria" w:hAnsi="TT1915Do00" w:cs="TT1915Do00"/>
          <w:color w:val="auto"/>
          <w:lang w:eastAsia="en-GB"/>
        </w:rPr>
      </w:pPr>
    </w:p>
    <w:p w:rsidR="00612C1F" w:rsidRPr="00E54973" w:rsidRDefault="00612C1F" w:rsidP="00612C1F">
      <w:pPr>
        <w:spacing w:after="0"/>
        <w:jc w:val="left"/>
        <w:rPr>
          <w:rFonts w:ascii="TT1915Do00" w:eastAsia="Cambria" w:hAnsi="TT1915Do00" w:cs="TT1915Do00"/>
          <w:color w:val="auto"/>
          <w:lang w:eastAsia="en-GB"/>
        </w:rPr>
      </w:pPr>
      <w:r w:rsidRPr="00E54973">
        <w:rPr>
          <w:rFonts w:ascii="TT1915Do00" w:eastAsia="Cambria" w:hAnsi="TT1915Do00" w:cs="TT1915Do00"/>
          <w:color w:val="auto"/>
          <w:lang w:eastAsia="en-GB"/>
        </w:rPr>
        <w:t xml:space="preserve">The current investment strategy, as set out in the SIP, is shown at </w:t>
      </w:r>
      <w:r w:rsidR="00E54973" w:rsidRPr="00E54973">
        <w:rPr>
          <w:rFonts w:ascii="TT1915Do00" w:eastAsia="Cambria" w:hAnsi="TT1915Do00" w:cs="TT1915Do00"/>
          <w:color w:val="auto"/>
          <w:lang w:eastAsia="en-GB"/>
        </w:rPr>
        <w:t>[</w:t>
      </w:r>
      <w:r w:rsidRPr="00E54973">
        <w:rPr>
          <w:rFonts w:ascii="TT1915Do00" w:eastAsia="Cambria" w:hAnsi="TT1915Do00" w:cs="TT1915Do00"/>
          <w:color w:val="auto"/>
          <w:lang w:eastAsia="en-GB"/>
        </w:rPr>
        <w:t>Annex 2</w:t>
      </w:r>
      <w:r w:rsidR="00E54973" w:rsidRPr="00E54973">
        <w:rPr>
          <w:rFonts w:ascii="TT1915Do00" w:eastAsia="Cambria" w:hAnsi="TT1915Do00" w:cs="TT1915Do00"/>
          <w:color w:val="auto"/>
          <w:lang w:eastAsia="en-GB"/>
        </w:rPr>
        <w:t>].</w:t>
      </w:r>
    </w:p>
    <w:p w:rsidR="00157CEA" w:rsidRDefault="00157CEA" w:rsidP="00612C1F">
      <w:pPr>
        <w:spacing w:after="0"/>
        <w:jc w:val="left"/>
        <w:rPr>
          <w:rFonts w:ascii="TT1915Do00" w:eastAsia="Cambria" w:hAnsi="TT1915Do00" w:cs="TT1915Do00"/>
          <w:color w:val="auto"/>
          <w:lang w:eastAsia="en-GB"/>
        </w:rPr>
      </w:pPr>
    </w:p>
    <w:p w:rsidR="001F679F" w:rsidRPr="00E54973" w:rsidRDefault="001F679F" w:rsidP="00612C1F">
      <w:pPr>
        <w:spacing w:after="0"/>
        <w:jc w:val="left"/>
        <w:rPr>
          <w:rFonts w:ascii="TT1915Do00" w:eastAsia="Cambria" w:hAnsi="TT1915Do00" w:cs="TT1915Do00"/>
          <w:color w:val="auto"/>
          <w:lang w:eastAsia="en-GB"/>
        </w:rPr>
      </w:pPr>
    </w:p>
    <w:p w:rsidR="00612C1F" w:rsidRPr="006E4A0D" w:rsidRDefault="00612C1F" w:rsidP="00612C1F">
      <w:pPr>
        <w:spacing w:after="0"/>
        <w:jc w:val="left"/>
        <w:rPr>
          <w:rFonts w:ascii="TT1915Do00" w:eastAsia="Cambria" w:hAnsi="TT1915Do00" w:cs="TT1915Do00"/>
          <w:b/>
          <w:color w:val="auto"/>
          <w:lang w:eastAsia="en-GB"/>
        </w:rPr>
      </w:pPr>
      <w:r w:rsidRPr="006E4A0D">
        <w:rPr>
          <w:rFonts w:ascii="TT1915Do00" w:eastAsia="Cambria" w:hAnsi="TT1915Do00" w:cs="TT1915Do00"/>
          <w:b/>
          <w:color w:val="auto"/>
          <w:lang w:eastAsia="en-GB"/>
        </w:rPr>
        <w:t>7. Identification of risks and counter-measures</w:t>
      </w:r>
    </w:p>
    <w:p w:rsidR="00157CEA" w:rsidRPr="00CC0CCF" w:rsidRDefault="00157CEA" w:rsidP="00612C1F">
      <w:pPr>
        <w:spacing w:after="0"/>
        <w:jc w:val="left"/>
        <w:rPr>
          <w:rFonts w:ascii="TT1915Do00" w:eastAsia="Cambria" w:hAnsi="TT1915Do00" w:cs="TT1915Do00"/>
          <w:color w:val="auto"/>
          <w:lang w:eastAsia="en-GB"/>
        </w:rPr>
      </w:pPr>
    </w:p>
    <w:p w:rsidR="00612C1F" w:rsidRPr="00CC0CCF" w:rsidRDefault="00612C1F" w:rsidP="00612C1F">
      <w:pPr>
        <w:spacing w:after="0"/>
        <w:jc w:val="left"/>
        <w:rPr>
          <w:rFonts w:ascii="TT1915Do00" w:eastAsia="Cambria" w:hAnsi="TT1915Do00" w:cs="TT1915Do00"/>
          <w:color w:val="auto"/>
          <w:lang w:eastAsia="en-GB"/>
        </w:rPr>
      </w:pPr>
      <w:r w:rsidRPr="00CC0CCF">
        <w:rPr>
          <w:rFonts w:ascii="TT1915Do00" w:eastAsia="Cambria" w:hAnsi="TT1915Do00" w:cs="TT1915Do00"/>
          <w:color w:val="auto"/>
          <w:lang w:eastAsia="en-GB"/>
        </w:rPr>
        <w:t>Funding of defined benefits is by its nature uncertain. Funding of the Scheme is</w:t>
      </w:r>
      <w:r w:rsidR="00157CEA" w:rsidRPr="00CC0CCF">
        <w:rPr>
          <w:rFonts w:ascii="TT1915Do00" w:eastAsia="Cambria" w:hAnsi="TT1915Do00" w:cs="TT1915Do00"/>
          <w:color w:val="auto"/>
          <w:lang w:eastAsia="en-GB"/>
        </w:rPr>
        <w:t xml:space="preserve"> </w:t>
      </w:r>
      <w:r w:rsidRPr="00CC0CCF">
        <w:rPr>
          <w:rFonts w:ascii="TT1915Do00" w:eastAsia="Cambria" w:hAnsi="TT1915Do00" w:cs="TT1915Do00"/>
          <w:color w:val="auto"/>
          <w:lang w:eastAsia="en-GB"/>
        </w:rPr>
        <w:t>based on both financial and demographic assumptions. These assumptions are</w:t>
      </w:r>
      <w:r w:rsidR="00157CEA" w:rsidRPr="00CC0CCF">
        <w:rPr>
          <w:rFonts w:ascii="TT1915Do00" w:eastAsia="Cambria" w:hAnsi="TT1915Do00" w:cs="TT1915Do00"/>
          <w:color w:val="auto"/>
          <w:lang w:eastAsia="en-GB"/>
        </w:rPr>
        <w:t xml:space="preserve"> </w:t>
      </w:r>
      <w:r w:rsidRPr="00CC0CCF">
        <w:rPr>
          <w:rFonts w:ascii="TT1915Do00" w:eastAsia="Cambria" w:hAnsi="TT1915Do00" w:cs="TT1915Do00"/>
          <w:color w:val="auto"/>
          <w:lang w:eastAsia="en-GB"/>
        </w:rPr>
        <w:t>specified in the actuarial valuation report. When actual experience is not in line</w:t>
      </w:r>
      <w:r w:rsidR="00157CEA" w:rsidRPr="00CC0CCF">
        <w:rPr>
          <w:rFonts w:ascii="TT1915Do00" w:eastAsia="Cambria" w:hAnsi="TT1915Do00" w:cs="TT1915Do00"/>
          <w:color w:val="auto"/>
          <w:lang w:eastAsia="en-GB"/>
        </w:rPr>
        <w:t xml:space="preserve"> </w:t>
      </w:r>
      <w:r w:rsidRPr="00CC0CCF">
        <w:rPr>
          <w:rFonts w:ascii="TT1915Do00" w:eastAsia="Cambria" w:hAnsi="TT1915Do00" w:cs="TT1915Do00"/>
          <w:color w:val="auto"/>
          <w:lang w:eastAsia="en-GB"/>
        </w:rPr>
        <w:t>with the assumptions adopted a surplus or shortfall will emerge at the next</w:t>
      </w:r>
      <w:r w:rsidR="00157CEA" w:rsidRPr="00CC0CCF">
        <w:rPr>
          <w:rFonts w:ascii="TT1915Do00" w:eastAsia="Cambria" w:hAnsi="TT1915Do00" w:cs="TT1915Do00"/>
          <w:color w:val="auto"/>
          <w:lang w:eastAsia="en-GB"/>
        </w:rPr>
        <w:t xml:space="preserve"> </w:t>
      </w:r>
      <w:r w:rsidRPr="00CC0CCF">
        <w:rPr>
          <w:rFonts w:ascii="TT1915Do00" w:eastAsia="Cambria" w:hAnsi="TT1915Do00" w:cs="TT1915Do00"/>
          <w:color w:val="auto"/>
          <w:lang w:eastAsia="en-GB"/>
        </w:rPr>
        <w:t>actuarial assessment and will require a subsequent contribution adjustment to</w:t>
      </w:r>
      <w:r w:rsidR="00157CEA" w:rsidRPr="00CC0CCF">
        <w:rPr>
          <w:rFonts w:ascii="TT1915Do00" w:eastAsia="Cambria" w:hAnsi="TT1915Do00" w:cs="TT1915Do00"/>
          <w:color w:val="auto"/>
          <w:lang w:eastAsia="en-GB"/>
        </w:rPr>
        <w:t xml:space="preserve"> </w:t>
      </w:r>
      <w:r w:rsidRPr="00CC0CCF">
        <w:rPr>
          <w:rFonts w:ascii="TT1915Do00" w:eastAsia="Cambria" w:hAnsi="TT1915Do00" w:cs="TT1915Do00"/>
          <w:color w:val="auto"/>
          <w:lang w:eastAsia="en-GB"/>
        </w:rPr>
        <w:t>bring the funding back into line with the target.</w:t>
      </w:r>
    </w:p>
    <w:p w:rsidR="00157CEA" w:rsidRPr="007D4DD7" w:rsidRDefault="00157CEA" w:rsidP="00612C1F">
      <w:pPr>
        <w:spacing w:after="0"/>
        <w:jc w:val="left"/>
        <w:rPr>
          <w:rFonts w:ascii="TT1915Do00" w:eastAsia="Cambria" w:hAnsi="TT1915Do00" w:cs="TT1915Do00"/>
          <w:color w:val="auto"/>
          <w:lang w:eastAsia="en-GB"/>
        </w:rPr>
      </w:pPr>
    </w:p>
    <w:p w:rsidR="00157CEA" w:rsidRDefault="00612C1F" w:rsidP="00612C1F">
      <w:pPr>
        <w:spacing w:after="0"/>
        <w:jc w:val="left"/>
        <w:rPr>
          <w:rFonts w:ascii="TT1915Do00" w:eastAsia="Cambria" w:hAnsi="TT1915Do00" w:cs="TT1915Do00"/>
          <w:b/>
          <w:color w:val="auto"/>
          <w:lang w:eastAsia="en-GB"/>
        </w:rPr>
      </w:pPr>
      <w:r w:rsidRPr="00563A61">
        <w:rPr>
          <w:rFonts w:ascii="TT1915Do00" w:eastAsia="Cambria" w:hAnsi="TT1915Do00" w:cs="TT1915Do00"/>
          <w:color w:val="000000" w:themeColor="text1"/>
          <w:lang w:eastAsia="en-GB"/>
        </w:rPr>
        <w:t>The Administering Authority has been advised by the actuary that the greatest risk</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to the Scheme’s funding is the investment risk inherent in the predominantly equity</w:t>
      </w:r>
      <w:r w:rsidR="00563A61" w:rsidRPr="009A05AB">
        <w:rPr>
          <w:rFonts w:cs="Arial"/>
        </w:rPr>
        <w:t xml:space="preserve"> </w:t>
      </w:r>
      <w:r w:rsidR="00563A61">
        <w:rPr>
          <w:rFonts w:cs="Arial"/>
        </w:rPr>
        <w:t xml:space="preserve">(or return seeking) </w:t>
      </w:r>
      <w:r w:rsidRPr="00563A61">
        <w:rPr>
          <w:rFonts w:ascii="TT1915Do00" w:eastAsia="Cambria" w:hAnsi="TT1915Do00" w:cs="TT1915Do00"/>
          <w:color w:val="000000" w:themeColor="text1"/>
          <w:lang w:eastAsia="en-GB"/>
        </w:rPr>
        <w:t>based strategy, so that actual asset out-performance between successive</w:t>
      </w:r>
      <w:r w:rsidR="00157CEA" w:rsidRPr="00563A61">
        <w:rPr>
          <w:rFonts w:ascii="TT1915Do00" w:eastAsia="Cambria" w:hAnsi="TT1915Do00" w:cs="TT1915Do00"/>
          <w:color w:val="000000" w:themeColor="text1"/>
          <w:lang w:eastAsia="en-GB"/>
        </w:rPr>
        <w:t xml:space="preserve"> </w:t>
      </w:r>
      <w:r w:rsidRPr="00563A61">
        <w:rPr>
          <w:rFonts w:ascii="TT1915Do00" w:eastAsia="Cambria" w:hAnsi="TT1915Do00" w:cs="TT1915Do00"/>
          <w:color w:val="000000" w:themeColor="text1"/>
          <w:lang w:eastAsia="en-GB"/>
        </w:rPr>
        <w:t xml:space="preserve">valuations could diverge significantly from the </w:t>
      </w:r>
      <w:r w:rsidR="00563A61" w:rsidRPr="009A05AB">
        <w:rPr>
          <w:rFonts w:cs="Arial"/>
        </w:rPr>
        <w:t>overall out performance assumed in the long term.</w:t>
      </w:r>
      <w:r w:rsidR="00563A61" w:rsidRPr="00563A61" w:rsidDel="00563A61">
        <w:rPr>
          <w:rFonts w:ascii="TT1915Do00" w:eastAsia="Cambria" w:hAnsi="TT1915Do00" w:cs="TT1915Do00"/>
          <w:b/>
          <w:color w:val="000000" w:themeColor="text1"/>
          <w:lang w:eastAsia="en-GB"/>
        </w:rPr>
        <w:t xml:space="preserve"> </w:t>
      </w:r>
    </w:p>
    <w:p w:rsidR="007D4DD7" w:rsidRDefault="007D4DD7">
      <w:pPr>
        <w:autoSpaceDE/>
        <w:autoSpaceDN/>
        <w:adjustRightInd/>
        <w:spacing w:after="0"/>
        <w:jc w:val="left"/>
        <w:rPr>
          <w:rFonts w:cs="Arial"/>
          <w:b/>
        </w:rPr>
      </w:pPr>
      <w:r>
        <w:rPr>
          <w:rFonts w:cs="Arial"/>
          <w:b/>
        </w:rPr>
        <w:br w:type="page"/>
      </w:r>
    </w:p>
    <w:p w:rsidR="00563A61" w:rsidRPr="009A05AB" w:rsidRDefault="00563A61" w:rsidP="00563A61">
      <w:pPr>
        <w:tabs>
          <w:tab w:val="left" w:pos="540"/>
        </w:tabs>
        <w:rPr>
          <w:rFonts w:cs="Arial"/>
          <w:b/>
        </w:rPr>
      </w:pPr>
      <w:r>
        <w:rPr>
          <w:rFonts w:cs="Arial"/>
          <w:b/>
        </w:rPr>
        <w:lastRenderedPageBreak/>
        <w:t>W</w:t>
      </w:r>
      <w:r w:rsidRPr="009A05AB">
        <w:rPr>
          <w:rFonts w:cs="Arial"/>
          <w:b/>
        </w:rPr>
        <w:t xml:space="preserve">hat </w:t>
      </w:r>
      <w:r w:rsidR="000C0C4A">
        <w:rPr>
          <w:rFonts w:cs="Arial"/>
          <w:b/>
        </w:rPr>
        <w:t>are the risks?</w:t>
      </w:r>
    </w:p>
    <w:p w:rsidR="00563A61" w:rsidRPr="00563A61" w:rsidRDefault="00563A61" w:rsidP="00563A61">
      <w:pPr>
        <w:spacing w:after="0"/>
        <w:jc w:val="left"/>
        <w:rPr>
          <w:rFonts w:ascii="TT1915Do00" w:eastAsia="Cambria" w:hAnsi="TT1915Do00" w:cs="TT1915Do00"/>
          <w:color w:val="auto"/>
          <w:lang w:eastAsia="en-GB"/>
        </w:rPr>
      </w:pPr>
    </w:p>
    <w:p w:rsidR="00563A61" w:rsidRPr="00563A61" w:rsidRDefault="00563A61" w:rsidP="00563A61">
      <w:pPr>
        <w:spacing w:after="0"/>
        <w:jc w:val="left"/>
        <w:rPr>
          <w:rFonts w:ascii="TT1915Do00" w:eastAsia="Cambria" w:hAnsi="TT1915Do00" w:cs="TT1915Do00"/>
          <w:b/>
          <w:color w:val="auto"/>
          <w:lang w:eastAsia="en-GB"/>
        </w:rPr>
      </w:pPr>
      <w:r w:rsidRPr="00563A61">
        <w:rPr>
          <w:rFonts w:ascii="TT1915Do00" w:eastAsia="Cambria" w:hAnsi="TT1915Do00" w:cs="TT1915Do00"/>
          <w:b/>
          <w:color w:val="auto"/>
          <w:lang w:eastAsia="en-GB"/>
        </w:rPr>
        <w:t xml:space="preserve">Financial </w:t>
      </w:r>
    </w:p>
    <w:p w:rsidR="00563A61" w:rsidRPr="009A05AB" w:rsidRDefault="00563A61" w:rsidP="00563A61">
      <w:pPr>
        <w:numPr>
          <w:ilvl w:val="0"/>
          <w:numId w:val="19"/>
        </w:numPr>
        <w:tabs>
          <w:tab w:val="clear" w:pos="1080"/>
          <w:tab w:val="num" w:pos="540"/>
        </w:tabs>
        <w:autoSpaceDE/>
        <w:autoSpaceDN/>
        <w:adjustRightInd/>
        <w:ind w:left="540"/>
        <w:jc w:val="left"/>
        <w:rPr>
          <w:rFonts w:cs="Arial"/>
        </w:rPr>
      </w:pPr>
      <w:r w:rsidRPr="009A05AB">
        <w:rPr>
          <w:rFonts w:cs="Arial"/>
        </w:rPr>
        <w:t>Investment markets fail to perform in line with expectations</w:t>
      </w:r>
      <w:r w:rsidR="009E39D7">
        <w:rPr>
          <w:rFonts w:cs="Arial"/>
        </w:rPr>
        <w:t>;</w:t>
      </w:r>
    </w:p>
    <w:p w:rsidR="00563A61" w:rsidRPr="009A05AB" w:rsidRDefault="00563A61" w:rsidP="00563A61">
      <w:pPr>
        <w:numPr>
          <w:ilvl w:val="0"/>
          <w:numId w:val="19"/>
        </w:numPr>
        <w:tabs>
          <w:tab w:val="clear" w:pos="1080"/>
          <w:tab w:val="num" w:pos="540"/>
        </w:tabs>
        <w:autoSpaceDE/>
        <w:autoSpaceDN/>
        <w:adjustRightInd/>
        <w:ind w:left="540"/>
        <w:jc w:val="left"/>
        <w:rPr>
          <w:rFonts w:cs="Arial"/>
        </w:rPr>
      </w:pPr>
      <w:r w:rsidRPr="009A05AB">
        <w:rPr>
          <w:rFonts w:cs="Arial"/>
        </w:rPr>
        <w:t>Market yields move at variance with assumptions</w:t>
      </w:r>
      <w:r w:rsidR="009E39D7">
        <w:rPr>
          <w:rFonts w:cs="Arial"/>
        </w:rPr>
        <w:t>;</w:t>
      </w:r>
    </w:p>
    <w:p w:rsidR="00563A61" w:rsidRPr="009A05AB" w:rsidRDefault="00563A61" w:rsidP="00563A61">
      <w:pPr>
        <w:numPr>
          <w:ilvl w:val="0"/>
          <w:numId w:val="19"/>
        </w:numPr>
        <w:tabs>
          <w:tab w:val="clear" w:pos="1080"/>
          <w:tab w:val="num" w:pos="540"/>
        </w:tabs>
        <w:autoSpaceDE/>
        <w:autoSpaceDN/>
        <w:adjustRightInd/>
        <w:ind w:left="540"/>
        <w:jc w:val="left"/>
        <w:rPr>
          <w:rFonts w:cs="Arial"/>
        </w:rPr>
      </w:pPr>
      <w:r w:rsidRPr="009A05AB">
        <w:rPr>
          <w:rFonts w:cs="Arial"/>
        </w:rPr>
        <w:t>Investment Fund Managers fail to achieve performance targets over the longer term</w:t>
      </w:r>
      <w:r w:rsidR="009E39D7">
        <w:rPr>
          <w:rFonts w:cs="Arial"/>
        </w:rPr>
        <w:t>;</w:t>
      </w:r>
    </w:p>
    <w:p w:rsidR="00563A61" w:rsidRPr="009A05AB" w:rsidRDefault="00563A61" w:rsidP="00563A61">
      <w:pPr>
        <w:numPr>
          <w:ilvl w:val="0"/>
          <w:numId w:val="19"/>
        </w:numPr>
        <w:tabs>
          <w:tab w:val="clear" w:pos="1080"/>
          <w:tab w:val="num" w:pos="540"/>
        </w:tabs>
        <w:autoSpaceDE/>
        <w:autoSpaceDN/>
        <w:adjustRightInd/>
        <w:ind w:left="540"/>
        <w:jc w:val="left"/>
        <w:rPr>
          <w:rFonts w:cs="Arial"/>
        </w:rPr>
      </w:pPr>
      <w:r w:rsidRPr="009A05AB">
        <w:rPr>
          <w:rFonts w:cs="Arial"/>
        </w:rPr>
        <w:t>Asset re-allocations in volatile markets may lock in past losses</w:t>
      </w:r>
      <w:r w:rsidR="009E39D7">
        <w:rPr>
          <w:rFonts w:cs="Arial"/>
        </w:rPr>
        <w:t>;</w:t>
      </w:r>
    </w:p>
    <w:p w:rsidR="00563A61" w:rsidRPr="009A05AB" w:rsidRDefault="00563A61" w:rsidP="000C0C4A">
      <w:pPr>
        <w:numPr>
          <w:ilvl w:val="0"/>
          <w:numId w:val="19"/>
        </w:numPr>
        <w:tabs>
          <w:tab w:val="clear" w:pos="1080"/>
          <w:tab w:val="num" w:pos="540"/>
        </w:tabs>
        <w:autoSpaceDE/>
        <w:autoSpaceDN/>
        <w:adjustRightInd/>
        <w:ind w:left="540"/>
        <w:jc w:val="left"/>
        <w:rPr>
          <w:rFonts w:cs="Arial"/>
        </w:rPr>
      </w:pPr>
      <w:r w:rsidRPr="009A05AB">
        <w:rPr>
          <w:rFonts w:cs="Arial"/>
        </w:rPr>
        <w:t>Pay and price inflation significantly more or less than anticipated</w:t>
      </w:r>
      <w:r w:rsidR="009E39D7">
        <w:rPr>
          <w:rFonts w:cs="Arial"/>
        </w:rPr>
        <w:t>;</w:t>
      </w:r>
    </w:p>
    <w:p w:rsidR="00563A61" w:rsidRDefault="00563A61" w:rsidP="00563A61">
      <w:pPr>
        <w:numPr>
          <w:ilvl w:val="0"/>
          <w:numId w:val="19"/>
        </w:numPr>
        <w:tabs>
          <w:tab w:val="clear" w:pos="1080"/>
          <w:tab w:val="num" w:pos="540"/>
        </w:tabs>
        <w:autoSpaceDE/>
        <w:autoSpaceDN/>
        <w:adjustRightInd/>
        <w:ind w:left="540"/>
        <w:jc w:val="left"/>
        <w:rPr>
          <w:rFonts w:cs="Arial"/>
        </w:rPr>
      </w:pPr>
      <w:r w:rsidRPr="009A05AB">
        <w:rPr>
          <w:rFonts w:cs="Arial"/>
        </w:rPr>
        <w:t>Effect of possible increase in employer’s contribution rate on service delivery and admitted/scheduled bodies</w:t>
      </w:r>
      <w:r w:rsidR="009E39D7">
        <w:rPr>
          <w:rFonts w:cs="Arial"/>
        </w:rPr>
        <w:t>.</w:t>
      </w:r>
    </w:p>
    <w:p w:rsidR="00563A61" w:rsidRPr="00563A61" w:rsidRDefault="00563A61" w:rsidP="00563A61">
      <w:pPr>
        <w:spacing w:after="0"/>
        <w:jc w:val="left"/>
        <w:rPr>
          <w:rFonts w:cs="Arial"/>
          <w:b/>
        </w:rPr>
      </w:pPr>
    </w:p>
    <w:p w:rsidR="00563A61" w:rsidRPr="00563A61" w:rsidRDefault="00563A61" w:rsidP="00563A61">
      <w:pPr>
        <w:spacing w:after="0"/>
        <w:jc w:val="left"/>
        <w:rPr>
          <w:rFonts w:ascii="TT1915Do00" w:eastAsia="Cambria" w:hAnsi="TT1915Do00" w:cs="TT1915Do00"/>
          <w:b/>
          <w:color w:val="auto"/>
          <w:lang w:eastAsia="en-GB"/>
        </w:rPr>
      </w:pPr>
      <w:r w:rsidRPr="00563A61">
        <w:rPr>
          <w:rFonts w:ascii="TT1915Do00" w:eastAsia="Cambria" w:hAnsi="TT1915Do00" w:cs="TT1915Do00"/>
          <w:b/>
          <w:color w:val="auto"/>
          <w:lang w:eastAsia="en-GB"/>
        </w:rPr>
        <w:t>Demographic</w:t>
      </w:r>
    </w:p>
    <w:p w:rsidR="00563A61" w:rsidRPr="009A05AB" w:rsidRDefault="00563A61" w:rsidP="00563A61">
      <w:pPr>
        <w:numPr>
          <w:ilvl w:val="0"/>
          <w:numId w:val="20"/>
        </w:numPr>
        <w:tabs>
          <w:tab w:val="clear" w:pos="900"/>
          <w:tab w:val="num" w:pos="540"/>
        </w:tabs>
        <w:autoSpaceDE/>
        <w:autoSpaceDN/>
        <w:adjustRightInd/>
        <w:ind w:left="540"/>
        <w:jc w:val="left"/>
        <w:rPr>
          <w:rFonts w:cs="Arial"/>
        </w:rPr>
      </w:pPr>
      <w:r w:rsidRPr="009A05AB">
        <w:rPr>
          <w:rFonts w:cs="Arial"/>
        </w:rPr>
        <w:t>Longevity horizon continues to expand</w:t>
      </w:r>
      <w:r w:rsidR="009E39D7">
        <w:rPr>
          <w:rFonts w:cs="Arial"/>
        </w:rPr>
        <w:t>;</w:t>
      </w:r>
    </w:p>
    <w:p w:rsidR="00563A61" w:rsidRDefault="00563A61" w:rsidP="00563A61">
      <w:pPr>
        <w:numPr>
          <w:ilvl w:val="0"/>
          <w:numId w:val="20"/>
        </w:numPr>
        <w:tabs>
          <w:tab w:val="clear" w:pos="900"/>
          <w:tab w:val="num" w:pos="540"/>
        </w:tabs>
        <w:autoSpaceDE/>
        <w:autoSpaceDN/>
        <w:adjustRightInd/>
        <w:ind w:left="540"/>
        <w:jc w:val="left"/>
        <w:rPr>
          <w:rFonts w:cs="Arial"/>
        </w:rPr>
      </w:pPr>
      <w:r w:rsidRPr="009A05AB">
        <w:rPr>
          <w:rFonts w:cs="Arial"/>
        </w:rPr>
        <w:t>Deteriorating pattern of early retirements</w:t>
      </w:r>
      <w:r>
        <w:rPr>
          <w:rFonts w:cs="Arial"/>
        </w:rPr>
        <w:t xml:space="preserve"> (including those granted on the grounds of ill health)</w:t>
      </w:r>
      <w:r w:rsidR="009E39D7">
        <w:rPr>
          <w:rFonts w:cs="Arial"/>
        </w:rPr>
        <w:t>.</w:t>
      </w:r>
    </w:p>
    <w:p w:rsidR="00563A61" w:rsidRDefault="00563A61" w:rsidP="00563A61">
      <w:pPr>
        <w:spacing w:after="0"/>
        <w:jc w:val="left"/>
        <w:rPr>
          <w:rFonts w:ascii="TT1915Do00" w:eastAsia="Cambria" w:hAnsi="TT1915Do00" w:cs="TT1915Do00"/>
          <w:color w:val="auto"/>
          <w:lang w:eastAsia="en-GB"/>
        </w:rPr>
      </w:pPr>
    </w:p>
    <w:p w:rsidR="00563A61" w:rsidRPr="009A05AB" w:rsidRDefault="00563A61" w:rsidP="00563A61">
      <w:pPr>
        <w:spacing w:after="0"/>
        <w:jc w:val="left"/>
        <w:rPr>
          <w:rFonts w:cs="Arial"/>
        </w:rPr>
      </w:pPr>
      <w:r w:rsidRPr="009A05AB">
        <w:rPr>
          <w:rFonts w:cs="Arial"/>
          <w:b/>
        </w:rPr>
        <w:t>Regulatory</w:t>
      </w:r>
    </w:p>
    <w:p w:rsidR="00563A61" w:rsidRPr="009A05AB" w:rsidRDefault="00563A61" w:rsidP="00563A61">
      <w:pPr>
        <w:numPr>
          <w:ilvl w:val="0"/>
          <w:numId w:val="21"/>
        </w:numPr>
        <w:tabs>
          <w:tab w:val="clear" w:pos="900"/>
          <w:tab w:val="num" w:pos="540"/>
        </w:tabs>
        <w:autoSpaceDE/>
        <w:autoSpaceDN/>
        <w:adjustRightInd/>
        <w:ind w:left="540"/>
        <w:jc w:val="left"/>
        <w:rPr>
          <w:rFonts w:cs="Arial"/>
        </w:rPr>
      </w:pPr>
      <w:r>
        <w:rPr>
          <w:rFonts w:cs="Arial"/>
        </w:rPr>
        <w:t>Further c</w:t>
      </w:r>
      <w:r w:rsidRPr="009A05AB">
        <w:rPr>
          <w:rFonts w:cs="Arial"/>
        </w:rPr>
        <w:t>hanges to Regulations, e.g. more favourable benefits package, potential new</w:t>
      </w:r>
      <w:r>
        <w:rPr>
          <w:rFonts w:cs="Arial"/>
        </w:rPr>
        <w:t xml:space="preserve"> </w:t>
      </w:r>
      <w:r w:rsidRPr="009A05AB">
        <w:rPr>
          <w:rFonts w:cs="Arial"/>
        </w:rPr>
        <w:t>entrants to scheme, e.g. part-time employees</w:t>
      </w:r>
      <w:r w:rsidR="009E39D7">
        <w:rPr>
          <w:rFonts w:cs="Arial"/>
        </w:rPr>
        <w:t>;</w:t>
      </w:r>
    </w:p>
    <w:p w:rsidR="00563A61" w:rsidRPr="009A05AB" w:rsidRDefault="00563A61" w:rsidP="00563A61">
      <w:pPr>
        <w:numPr>
          <w:ilvl w:val="0"/>
          <w:numId w:val="21"/>
        </w:numPr>
        <w:tabs>
          <w:tab w:val="clear" w:pos="900"/>
          <w:tab w:val="num" w:pos="540"/>
        </w:tabs>
        <w:autoSpaceDE/>
        <w:autoSpaceDN/>
        <w:adjustRightInd/>
        <w:ind w:left="540"/>
        <w:jc w:val="left"/>
        <w:rPr>
          <w:rFonts w:cs="Arial"/>
        </w:rPr>
      </w:pPr>
      <w:r w:rsidRPr="009A05AB">
        <w:rPr>
          <w:rFonts w:cs="Arial"/>
        </w:rPr>
        <w:t xml:space="preserve">Changes to national pension requirements and/or </w:t>
      </w:r>
      <w:r>
        <w:rPr>
          <w:rFonts w:cs="Arial"/>
        </w:rPr>
        <w:t>HMRC</w:t>
      </w:r>
      <w:r w:rsidRPr="009A05AB">
        <w:rPr>
          <w:rFonts w:cs="Arial"/>
        </w:rPr>
        <w:t xml:space="preserve"> rules</w:t>
      </w:r>
      <w:r w:rsidR="009E39D7">
        <w:rPr>
          <w:rFonts w:cs="Arial"/>
        </w:rPr>
        <w:t>.</w:t>
      </w:r>
    </w:p>
    <w:p w:rsidR="00563A61" w:rsidRPr="00563A61" w:rsidRDefault="00563A61" w:rsidP="00563A61">
      <w:pPr>
        <w:spacing w:after="0"/>
        <w:jc w:val="left"/>
        <w:rPr>
          <w:rFonts w:ascii="TT1915Do00" w:eastAsia="Cambria" w:hAnsi="TT1915Do00" w:cs="TT1915Do00"/>
          <w:color w:val="auto"/>
          <w:lang w:eastAsia="en-GB"/>
        </w:rPr>
      </w:pPr>
    </w:p>
    <w:p w:rsidR="00563A61" w:rsidRPr="00563A61" w:rsidRDefault="00563A61" w:rsidP="00563A61">
      <w:pPr>
        <w:spacing w:after="0"/>
        <w:jc w:val="left"/>
        <w:rPr>
          <w:rFonts w:ascii="TT1915Do00" w:eastAsia="Cambria" w:hAnsi="TT1915Do00" w:cs="TT1915Do00"/>
          <w:b/>
          <w:color w:val="auto"/>
          <w:lang w:eastAsia="en-GB"/>
        </w:rPr>
      </w:pPr>
      <w:r w:rsidRPr="00563A61">
        <w:rPr>
          <w:rFonts w:ascii="TT1915Do00" w:eastAsia="Cambria" w:hAnsi="TT1915Do00" w:cs="TT1915Do00"/>
          <w:b/>
          <w:color w:val="auto"/>
          <w:lang w:eastAsia="en-GB"/>
        </w:rPr>
        <w:t>Governance</w:t>
      </w:r>
    </w:p>
    <w:p w:rsidR="00563A61" w:rsidRPr="009A05AB" w:rsidRDefault="00563A61" w:rsidP="00563A61">
      <w:pPr>
        <w:numPr>
          <w:ilvl w:val="0"/>
          <w:numId w:val="22"/>
        </w:numPr>
        <w:tabs>
          <w:tab w:val="clear" w:pos="900"/>
          <w:tab w:val="num" w:pos="540"/>
        </w:tabs>
        <w:autoSpaceDE/>
        <w:autoSpaceDN/>
        <w:adjustRightInd/>
        <w:ind w:left="540"/>
        <w:jc w:val="left"/>
        <w:rPr>
          <w:rFonts w:cs="Arial"/>
        </w:rPr>
      </w:pPr>
      <w:r w:rsidRPr="009A05AB">
        <w:rPr>
          <w:rFonts w:cs="Arial"/>
        </w:rPr>
        <w:t>Administering Authority unaware of structural changes in employer’s membership (e.g. large fall in employee numbers, large number of retirements)</w:t>
      </w:r>
      <w:r>
        <w:rPr>
          <w:rFonts w:cs="Arial"/>
        </w:rPr>
        <w:t>;</w:t>
      </w:r>
    </w:p>
    <w:p w:rsidR="00563A61" w:rsidRPr="009A05AB" w:rsidRDefault="00563A61" w:rsidP="00563A61">
      <w:pPr>
        <w:numPr>
          <w:ilvl w:val="0"/>
          <w:numId w:val="22"/>
        </w:numPr>
        <w:tabs>
          <w:tab w:val="clear" w:pos="900"/>
          <w:tab w:val="num" w:pos="540"/>
        </w:tabs>
        <w:autoSpaceDE/>
        <w:autoSpaceDN/>
        <w:adjustRightInd/>
        <w:ind w:left="540"/>
        <w:jc w:val="left"/>
        <w:rPr>
          <w:rFonts w:cs="Arial"/>
        </w:rPr>
      </w:pPr>
      <w:r w:rsidRPr="009A05AB">
        <w:rPr>
          <w:rFonts w:cs="Arial"/>
        </w:rPr>
        <w:t>Administering Authority not advised of an employer closing to new entrants</w:t>
      </w:r>
      <w:r>
        <w:rPr>
          <w:rFonts w:cs="Arial"/>
        </w:rPr>
        <w:t>;</w:t>
      </w:r>
    </w:p>
    <w:p w:rsidR="00563A61" w:rsidRPr="009A05AB" w:rsidRDefault="00563A61" w:rsidP="00563A61">
      <w:pPr>
        <w:numPr>
          <w:ilvl w:val="0"/>
          <w:numId w:val="22"/>
        </w:numPr>
        <w:tabs>
          <w:tab w:val="clear" w:pos="900"/>
          <w:tab w:val="num" w:pos="540"/>
        </w:tabs>
        <w:autoSpaceDE/>
        <w:autoSpaceDN/>
        <w:adjustRightInd/>
        <w:ind w:left="540"/>
        <w:jc w:val="left"/>
        <w:rPr>
          <w:rFonts w:cs="Arial"/>
        </w:rPr>
      </w:pPr>
      <w:r w:rsidRPr="009A05AB">
        <w:rPr>
          <w:rFonts w:cs="Arial"/>
        </w:rPr>
        <w:t>An employer ceasing to exist with insufficien</w:t>
      </w:r>
      <w:r>
        <w:rPr>
          <w:rFonts w:cs="Arial"/>
        </w:rPr>
        <w:t>t funding or adequacy of a bond;</w:t>
      </w:r>
    </w:p>
    <w:p w:rsidR="00563A61" w:rsidRDefault="00563A61" w:rsidP="00563A61">
      <w:pPr>
        <w:numPr>
          <w:ilvl w:val="0"/>
          <w:numId w:val="23"/>
        </w:numPr>
        <w:tabs>
          <w:tab w:val="clear" w:pos="900"/>
          <w:tab w:val="left" w:pos="0"/>
          <w:tab w:val="num" w:pos="540"/>
        </w:tabs>
        <w:autoSpaceDE/>
        <w:autoSpaceDN/>
        <w:adjustRightInd/>
        <w:ind w:left="540"/>
        <w:jc w:val="left"/>
        <w:rPr>
          <w:rFonts w:cs="Arial"/>
        </w:rPr>
      </w:pPr>
      <w:r w:rsidRPr="009A05AB">
        <w:rPr>
          <w:rFonts w:cs="Arial"/>
        </w:rPr>
        <w:t xml:space="preserve">Changes in </w:t>
      </w:r>
      <w:r>
        <w:rPr>
          <w:rFonts w:cs="Arial"/>
        </w:rPr>
        <w:t>Committee</w:t>
      </w:r>
      <w:r w:rsidRPr="009A05AB">
        <w:rPr>
          <w:rFonts w:cs="Arial"/>
        </w:rPr>
        <w:t xml:space="preserve"> membership.</w:t>
      </w:r>
    </w:p>
    <w:p w:rsidR="00563A61" w:rsidRDefault="00563A61" w:rsidP="00612C1F">
      <w:pPr>
        <w:spacing w:after="0"/>
        <w:jc w:val="left"/>
        <w:rPr>
          <w:rFonts w:ascii="TT1915Do00" w:eastAsia="Cambria" w:hAnsi="TT1915Do00" w:cs="TT1915Do00"/>
          <w:b/>
          <w:color w:val="auto"/>
          <w:lang w:eastAsia="en-GB"/>
        </w:rPr>
      </w:pPr>
    </w:p>
    <w:p w:rsidR="000C0C4A" w:rsidRDefault="000C0C4A" w:rsidP="000C0C4A">
      <w:pPr>
        <w:spacing w:after="0"/>
        <w:jc w:val="left"/>
        <w:rPr>
          <w:rFonts w:ascii="TT1915Do00" w:eastAsia="Cambria" w:hAnsi="TT1915Do00" w:cs="TT1915Do00"/>
          <w:color w:val="auto"/>
          <w:lang w:eastAsia="en-GB"/>
        </w:rPr>
      </w:pPr>
      <w:r>
        <w:rPr>
          <w:rFonts w:ascii="TT1915Do00" w:eastAsia="Cambria" w:hAnsi="TT1915Do00" w:cs="TT1915Do00"/>
          <w:color w:val="auto"/>
          <w:lang w:eastAsia="en-GB"/>
        </w:rPr>
        <w:t xml:space="preserve">These risks are incorporated as part of a comprehensive Fund risk register referred to in Annex 3 below. Such risks </w:t>
      </w:r>
      <w:r w:rsidRPr="00D0072C">
        <w:rPr>
          <w:rFonts w:ascii="TT1915Do00" w:eastAsia="Cambria" w:hAnsi="TT1915Do00" w:cs="TT1915Do00"/>
          <w:color w:val="auto"/>
          <w:lang w:eastAsia="en-GB"/>
        </w:rPr>
        <w:t>will be monitored and reviewed in line with the monitoring and review guidelines identified elsewhere within the Funding Strategy Statement</w:t>
      </w:r>
      <w:r>
        <w:rPr>
          <w:rFonts w:ascii="TT1915Do00" w:eastAsia="Cambria" w:hAnsi="TT1915Do00" w:cs="TT1915Do00"/>
          <w:color w:val="auto"/>
          <w:lang w:eastAsia="en-GB"/>
        </w:rPr>
        <w:t>.</w:t>
      </w:r>
    </w:p>
    <w:p w:rsidR="000C0C4A" w:rsidRDefault="000C0C4A" w:rsidP="00612C1F">
      <w:pPr>
        <w:spacing w:after="0"/>
        <w:jc w:val="left"/>
        <w:rPr>
          <w:rFonts w:ascii="TT1915Do00" w:eastAsia="Cambria" w:hAnsi="TT1915Do00" w:cs="TT1915Do00"/>
          <w:b/>
          <w:color w:val="auto"/>
          <w:lang w:eastAsia="en-GB"/>
        </w:rPr>
      </w:pPr>
    </w:p>
    <w:p w:rsidR="000C0C4A" w:rsidRDefault="000C0C4A" w:rsidP="00612C1F">
      <w:pPr>
        <w:spacing w:after="0"/>
        <w:jc w:val="left"/>
        <w:rPr>
          <w:rFonts w:ascii="TT1915Do00" w:eastAsia="Cambria" w:hAnsi="TT1915Do00" w:cs="TT1915Do00"/>
          <w:b/>
          <w:color w:val="auto"/>
          <w:lang w:eastAsia="en-GB"/>
        </w:rPr>
      </w:pPr>
    </w:p>
    <w:p w:rsidR="000C0C4A" w:rsidRDefault="000C0C4A">
      <w:pPr>
        <w:autoSpaceDE/>
        <w:autoSpaceDN/>
        <w:adjustRightInd/>
        <w:spacing w:after="0"/>
        <w:jc w:val="left"/>
        <w:rPr>
          <w:rFonts w:ascii="TT1915Do00" w:eastAsia="Cambria" w:hAnsi="TT1915Do00" w:cs="TT1915Do00"/>
          <w:b/>
          <w:color w:val="auto"/>
          <w:lang w:eastAsia="en-GB"/>
        </w:rPr>
      </w:pPr>
      <w:r>
        <w:rPr>
          <w:rFonts w:ascii="TT1915Do00" w:eastAsia="Cambria" w:hAnsi="TT1915Do00" w:cs="TT1915Do00"/>
          <w:b/>
          <w:color w:val="auto"/>
          <w:lang w:eastAsia="en-GB"/>
        </w:rPr>
        <w:br w:type="page"/>
      </w:r>
    </w:p>
    <w:p w:rsidR="00563A61" w:rsidRPr="00FA5C62" w:rsidRDefault="00563A61" w:rsidP="00612C1F">
      <w:pPr>
        <w:spacing w:after="0"/>
        <w:jc w:val="left"/>
        <w:rPr>
          <w:rFonts w:ascii="TT1915Do00" w:eastAsia="Cambria" w:hAnsi="TT1915Do00" w:cs="TT1915Do00"/>
          <w:b/>
          <w:color w:val="auto"/>
          <w:lang w:eastAsia="en-GB"/>
        </w:rPr>
      </w:pPr>
      <w:r>
        <w:rPr>
          <w:rFonts w:ascii="TT1915Do00" w:eastAsia="Cambria" w:hAnsi="TT1915Do00" w:cs="TT1915Do00"/>
          <w:b/>
          <w:color w:val="auto"/>
          <w:lang w:eastAsia="en-GB"/>
        </w:rPr>
        <w:lastRenderedPageBreak/>
        <w:t>Investments</w:t>
      </w:r>
    </w:p>
    <w:p w:rsidR="00612C1F" w:rsidRPr="00CC0CCF" w:rsidRDefault="00612C1F" w:rsidP="00612C1F">
      <w:pPr>
        <w:spacing w:after="0"/>
        <w:jc w:val="left"/>
        <w:rPr>
          <w:rFonts w:ascii="TT1915Do00" w:eastAsia="Cambria" w:hAnsi="TT1915Do00" w:cs="TT1915Do00"/>
          <w:color w:val="auto"/>
          <w:lang w:eastAsia="en-GB"/>
        </w:rPr>
      </w:pPr>
      <w:r w:rsidRPr="00CC0CCF">
        <w:rPr>
          <w:rFonts w:ascii="TT1915Do00" w:eastAsia="Cambria" w:hAnsi="TT1915Do00" w:cs="TT1915Do00"/>
          <w:color w:val="auto"/>
          <w:lang w:eastAsia="en-GB"/>
        </w:rPr>
        <w:t>The responsibility for the investment management of the Lancashire County</w:t>
      </w:r>
    </w:p>
    <w:p w:rsidR="00612C1F" w:rsidRPr="00CC0CCF" w:rsidRDefault="00612C1F" w:rsidP="00612C1F">
      <w:pPr>
        <w:spacing w:after="0"/>
        <w:jc w:val="left"/>
        <w:rPr>
          <w:rFonts w:ascii="TT1915Do00" w:eastAsia="Cambria" w:hAnsi="TT1915Do00" w:cs="TT1915Do00"/>
          <w:color w:val="auto"/>
          <w:lang w:eastAsia="en-GB"/>
        </w:rPr>
      </w:pPr>
      <w:r w:rsidRPr="00CC0CCF">
        <w:rPr>
          <w:rFonts w:ascii="TT1915Do00" w:eastAsia="Cambria" w:hAnsi="TT1915Do00" w:cs="TT1915Do00"/>
          <w:color w:val="auto"/>
          <w:lang w:eastAsia="en-GB"/>
        </w:rPr>
        <w:t>Pension Fund is detailed in the Statement of Investment Principles and is as</w:t>
      </w:r>
    </w:p>
    <w:p w:rsidR="00612C1F" w:rsidRDefault="00612C1F" w:rsidP="00612C1F">
      <w:pPr>
        <w:spacing w:after="0"/>
        <w:jc w:val="left"/>
        <w:rPr>
          <w:rFonts w:eastAsia="Cambria" w:cs="Arial"/>
          <w:color w:val="auto"/>
          <w:sz w:val="28"/>
          <w:szCs w:val="28"/>
          <w:lang w:eastAsia="en-GB"/>
        </w:rPr>
      </w:pPr>
      <w:r w:rsidRPr="00CC0CCF">
        <w:rPr>
          <w:rFonts w:ascii="TT1915Do00" w:eastAsia="Cambria" w:hAnsi="TT1915Do00" w:cs="TT1915Do00"/>
          <w:color w:val="auto"/>
          <w:lang w:eastAsia="en-GB"/>
        </w:rPr>
        <w:t>follows:</w:t>
      </w:r>
    </w:p>
    <w:p w:rsidR="00563A61" w:rsidRPr="00CC0CCF" w:rsidRDefault="00563A61" w:rsidP="00612C1F">
      <w:pPr>
        <w:spacing w:after="0"/>
        <w:jc w:val="left"/>
        <w:rPr>
          <w:rFonts w:ascii="TT1915Ao00" w:eastAsia="Cambria" w:hAnsi="TT1915Ao00" w:cs="TT1915Ao00"/>
          <w:color w:val="auto"/>
          <w:lang w:eastAsia="en-GB"/>
        </w:rPr>
      </w:pPr>
    </w:p>
    <w:p w:rsidR="00612C1F" w:rsidRPr="00CC0CCF" w:rsidRDefault="00612C1F" w:rsidP="00D0072C">
      <w:pPr>
        <w:spacing w:after="240"/>
        <w:jc w:val="left"/>
        <w:rPr>
          <w:rFonts w:ascii="TT1915Do00" w:eastAsia="Cambria" w:hAnsi="TT1915Do00" w:cs="TT1915Do00"/>
          <w:color w:val="auto"/>
          <w:lang w:eastAsia="en-GB"/>
        </w:rPr>
      </w:pPr>
      <w:r w:rsidRPr="00CC0CCF">
        <w:rPr>
          <w:rFonts w:ascii="TT1915Do00" w:eastAsia="Cambria" w:hAnsi="TT1915Do00" w:cs="TT1915Do00"/>
          <w:color w:val="auto"/>
          <w:lang w:eastAsia="en-GB"/>
        </w:rPr>
        <w:t>Lancashire County Council is responsible for administering the Fund under the</w:t>
      </w:r>
      <w:r w:rsidR="00157CEA" w:rsidRPr="00CC0CCF">
        <w:rPr>
          <w:rFonts w:ascii="TT1915Do00" w:eastAsia="Cambria" w:hAnsi="TT1915Do00" w:cs="TT1915Do00"/>
          <w:color w:val="auto"/>
          <w:lang w:eastAsia="en-GB"/>
        </w:rPr>
        <w:t xml:space="preserve"> </w:t>
      </w:r>
      <w:r w:rsidRPr="00CC0CCF">
        <w:rPr>
          <w:rFonts w:ascii="TT1915Do00" w:eastAsia="Cambria" w:hAnsi="TT1915Do00" w:cs="TT1915Do00"/>
          <w:color w:val="auto"/>
          <w:lang w:eastAsia="en-GB"/>
        </w:rPr>
        <w:t>Local Government Pension Scheme Regulations. It discharges its responsibilities</w:t>
      </w:r>
      <w:r w:rsidR="00157CEA" w:rsidRPr="00CC0CCF">
        <w:rPr>
          <w:rFonts w:ascii="TT1915Do00" w:eastAsia="Cambria" w:hAnsi="TT1915Do00" w:cs="TT1915Do00"/>
          <w:color w:val="auto"/>
          <w:lang w:eastAsia="en-GB"/>
        </w:rPr>
        <w:t xml:space="preserve"> </w:t>
      </w:r>
      <w:r w:rsidRPr="00CC0CCF">
        <w:rPr>
          <w:rFonts w:ascii="TT1915Do00" w:eastAsia="Cambria" w:hAnsi="TT1915Do00" w:cs="TT1915Do00"/>
          <w:color w:val="auto"/>
          <w:lang w:eastAsia="en-GB"/>
        </w:rPr>
        <w:t>through:</w:t>
      </w:r>
    </w:p>
    <w:p w:rsidR="00612C1F" w:rsidRPr="00CC0CCF" w:rsidRDefault="00612C1F" w:rsidP="00D0072C">
      <w:pPr>
        <w:spacing w:after="0"/>
        <w:ind w:left="720"/>
        <w:jc w:val="left"/>
        <w:rPr>
          <w:rFonts w:ascii="TT1915Do00" w:eastAsia="Cambria" w:hAnsi="TT1915Do00" w:cs="TT1915Do00"/>
          <w:color w:val="auto"/>
          <w:lang w:eastAsia="en-GB"/>
        </w:rPr>
      </w:pPr>
      <w:r w:rsidRPr="00CC0CCF">
        <w:rPr>
          <w:rFonts w:ascii="TT1915Eo00" w:eastAsia="Cambria" w:hAnsi="TT1915Eo00" w:cs="TT1915Eo00"/>
          <w:color w:val="auto"/>
          <w:lang w:eastAsia="en-GB"/>
        </w:rPr>
        <w:t xml:space="preserve">• </w:t>
      </w:r>
      <w:r w:rsidRPr="00CC0CCF">
        <w:rPr>
          <w:rFonts w:ascii="TT1915Do00" w:eastAsia="Cambria" w:hAnsi="TT1915Do00" w:cs="TT1915Do00"/>
          <w:color w:val="auto"/>
          <w:lang w:eastAsia="en-GB"/>
        </w:rPr>
        <w:t>The Pension Fund Committee;</w:t>
      </w:r>
    </w:p>
    <w:p w:rsidR="00612C1F" w:rsidRPr="00CC0CCF" w:rsidRDefault="00612C1F" w:rsidP="00D0072C">
      <w:pPr>
        <w:spacing w:after="0"/>
        <w:ind w:left="720"/>
        <w:jc w:val="left"/>
        <w:rPr>
          <w:rFonts w:ascii="TT1915Do00" w:eastAsia="Cambria" w:hAnsi="TT1915Do00" w:cs="TT1915Do00"/>
          <w:color w:val="auto"/>
          <w:lang w:eastAsia="en-GB"/>
        </w:rPr>
      </w:pPr>
      <w:r w:rsidRPr="00CC0CCF">
        <w:rPr>
          <w:rFonts w:ascii="TT1915Eo00" w:eastAsia="Cambria" w:hAnsi="TT1915Eo00" w:cs="TT1915Eo00"/>
          <w:color w:val="auto"/>
          <w:lang w:eastAsia="en-GB"/>
        </w:rPr>
        <w:t xml:space="preserve">• </w:t>
      </w:r>
      <w:r w:rsidRPr="00CC0CCF">
        <w:rPr>
          <w:rFonts w:ascii="TT1915Do00" w:eastAsia="Cambria" w:hAnsi="TT1915Do00" w:cs="TT1915Do00"/>
          <w:color w:val="auto"/>
          <w:lang w:eastAsia="en-GB"/>
        </w:rPr>
        <w:t>The Fund's Investment Panel;</w:t>
      </w:r>
    </w:p>
    <w:p w:rsidR="00612C1F" w:rsidRPr="00CC0CCF" w:rsidRDefault="00612C1F" w:rsidP="00D0072C">
      <w:pPr>
        <w:spacing w:after="0"/>
        <w:ind w:left="720"/>
        <w:jc w:val="left"/>
        <w:rPr>
          <w:rFonts w:ascii="TT1915Do00" w:eastAsia="Cambria" w:hAnsi="TT1915Do00" w:cs="TT1915Do00"/>
          <w:color w:val="auto"/>
          <w:lang w:eastAsia="en-GB"/>
        </w:rPr>
      </w:pPr>
      <w:r w:rsidRPr="00CC0CCF">
        <w:rPr>
          <w:rFonts w:ascii="TT1915Eo00" w:eastAsia="Cambria" w:hAnsi="TT1915Eo00" w:cs="TT1915Eo00"/>
          <w:color w:val="auto"/>
          <w:lang w:eastAsia="en-GB"/>
        </w:rPr>
        <w:t xml:space="preserve">• </w:t>
      </w:r>
      <w:r w:rsidRPr="00CC0CCF">
        <w:rPr>
          <w:rFonts w:ascii="TT1915Do00" w:eastAsia="Cambria" w:hAnsi="TT1915Do00" w:cs="TT1915Do00"/>
          <w:color w:val="auto"/>
          <w:lang w:eastAsia="en-GB"/>
        </w:rPr>
        <w:t>The Fund's Investment Managers.</w:t>
      </w:r>
    </w:p>
    <w:p w:rsidR="00157CEA" w:rsidRPr="00CC0CCF" w:rsidRDefault="00157CEA" w:rsidP="00612C1F">
      <w:pPr>
        <w:spacing w:after="0"/>
        <w:jc w:val="left"/>
        <w:rPr>
          <w:rFonts w:ascii="TT1915Do00" w:eastAsia="Cambria" w:hAnsi="TT1915Do00" w:cs="TT1915Do00"/>
          <w:color w:val="auto"/>
          <w:lang w:eastAsia="en-GB"/>
        </w:rPr>
      </w:pPr>
    </w:p>
    <w:p w:rsidR="00612C1F" w:rsidRPr="00CC0CCF" w:rsidRDefault="00612C1F" w:rsidP="00612C1F">
      <w:pPr>
        <w:spacing w:after="0"/>
        <w:jc w:val="left"/>
        <w:rPr>
          <w:rFonts w:ascii="TT1915Do00" w:eastAsia="Cambria" w:hAnsi="TT1915Do00" w:cs="TT1915Do00"/>
          <w:color w:val="auto"/>
          <w:lang w:eastAsia="en-GB"/>
        </w:rPr>
      </w:pPr>
      <w:r w:rsidRPr="00CC0CCF">
        <w:rPr>
          <w:rFonts w:ascii="TT1915Do00" w:eastAsia="Cambria" w:hAnsi="TT1915Do00" w:cs="TT1915Do00"/>
          <w:color w:val="auto"/>
          <w:lang w:eastAsia="en-GB"/>
        </w:rPr>
        <w:t>The division of responsibility is detailed below.</w:t>
      </w:r>
    </w:p>
    <w:p w:rsidR="00157CEA" w:rsidRPr="00CC0CCF" w:rsidRDefault="00157CEA" w:rsidP="00612C1F">
      <w:pPr>
        <w:spacing w:after="0"/>
        <w:jc w:val="left"/>
        <w:rPr>
          <w:rFonts w:ascii="TT1915Ao00" w:eastAsia="Cambria" w:hAnsi="TT1915Ao00" w:cs="TT1915Ao00"/>
          <w:color w:val="auto"/>
          <w:lang w:eastAsia="en-GB"/>
        </w:rPr>
      </w:pPr>
    </w:p>
    <w:p w:rsidR="0027248E" w:rsidRPr="009E5890" w:rsidRDefault="008F0A35">
      <w:pPr>
        <w:pStyle w:val="Heading4"/>
        <w:numPr>
          <w:ilvl w:val="0"/>
          <w:numId w:val="0"/>
        </w:numPr>
        <w:jc w:val="both"/>
        <w:rPr>
          <w:sz w:val="24"/>
          <w:szCs w:val="24"/>
        </w:rPr>
      </w:pPr>
      <w:r w:rsidRPr="009E5890">
        <w:rPr>
          <w:sz w:val="24"/>
          <w:szCs w:val="24"/>
        </w:rPr>
        <w:t>Pension Fund Committee</w:t>
      </w:r>
    </w:p>
    <w:p w:rsidR="008F0A35" w:rsidRPr="009E5890" w:rsidRDefault="008F0A35" w:rsidP="008F0A35">
      <w:pPr>
        <w:rPr>
          <w:rFonts w:cs="Arial"/>
          <w:color w:val="auto"/>
          <w:sz w:val="20"/>
        </w:rPr>
      </w:pPr>
    </w:p>
    <w:p w:rsidR="008F0A35" w:rsidRPr="009E5890" w:rsidRDefault="008F0A35" w:rsidP="008F0A35">
      <w:pPr>
        <w:rPr>
          <w:rFonts w:cs="Arial"/>
          <w:color w:val="auto"/>
        </w:rPr>
      </w:pPr>
      <w:r w:rsidRPr="009E5890">
        <w:rPr>
          <w:rFonts w:cs="Arial"/>
          <w:color w:val="auto"/>
        </w:rPr>
        <w:t xml:space="preserve">The Pension Fund Committee has overall responsibility for investment policy and monitoring overall performance. The Committee meets four times a year, and currently comprises 14 elected County Councillors, 4 representatives of the District Councils and Unitary Authorities within the Fund, 2 representatives of scheme members and a representative of the Higher and Further Education Sectors in Lancashire. </w:t>
      </w:r>
    </w:p>
    <w:p w:rsidR="008F0A35" w:rsidRPr="00787E2F" w:rsidRDefault="008F0A35" w:rsidP="008F0A35">
      <w:pPr>
        <w:spacing w:after="0"/>
        <w:jc w:val="left"/>
        <w:rPr>
          <w:rFonts w:ascii="TT1915Do00" w:eastAsia="Cambria" w:hAnsi="TT1915Do00" w:cs="TT1915Do00"/>
          <w:color w:val="auto"/>
          <w:lang w:eastAsia="en-GB"/>
        </w:rPr>
      </w:pPr>
      <w:r w:rsidRPr="00787E2F">
        <w:rPr>
          <w:rFonts w:ascii="TT1915Do00" w:eastAsia="Cambria" w:hAnsi="TT1915Do00" w:cs="TT1915Do00"/>
          <w:color w:val="auto"/>
          <w:lang w:eastAsia="en-GB"/>
        </w:rPr>
        <w:t>The Administering Authority ensures that the members of the Pension Fund Committee receive suitable training each year on Pension Fund issues</w:t>
      </w:r>
      <w:r w:rsidR="0027248E">
        <w:rPr>
          <w:rFonts w:ascii="TT1915Do00" w:eastAsia="Cambria" w:hAnsi="TT1915Do00" w:cs="TT1915Do00"/>
          <w:color w:val="auto"/>
          <w:lang w:eastAsia="en-GB"/>
        </w:rPr>
        <w:t>.</w:t>
      </w:r>
      <w:r w:rsidRPr="00787E2F">
        <w:rPr>
          <w:rFonts w:ascii="TT1915Do00" w:eastAsia="Cambria" w:hAnsi="TT1915Do00" w:cs="TT1915Do00"/>
          <w:color w:val="auto"/>
          <w:lang w:eastAsia="en-GB"/>
        </w:rPr>
        <w:t xml:space="preserve"> In addition to the greatest risk, CIPFA have identified a number of other key risks that are shown at Annex 3 of this document. These risks will be subjected to the monitoring and review process as described in section 8 below.</w:t>
      </w:r>
    </w:p>
    <w:p w:rsidR="008F0A35" w:rsidRPr="009E5890" w:rsidRDefault="008F0A35" w:rsidP="008F0A35">
      <w:pPr>
        <w:rPr>
          <w:rFonts w:cs="Arial"/>
          <w:color w:val="auto"/>
        </w:rPr>
      </w:pPr>
    </w:p>
    <w:p w:rsidR="0027248E" w:rsidRPr="009E5890" w:rsidRDefault="008F0A35">
      <w:pPr>
        <w:pStyle w:val="Heading4"/>
        <w:numPr>
          <w:ilvl w:val="0"/>
          <w:numId w:val="0"/>
        </w:numPr>
        <w:ind w:left="142"/>
        <w:jc w:val="both"/>
        <w:rPr>
          <w:sz w:val="24"/>
          <w:szCs w:val="24"/>
        </w:rPr>
      </w:pPr>
      <w:r w:rsidRPr="009E5890">
        <w:rPr>
          <w:sz w:val="24"/>
          <w:szCs w:val="24"/>
        </w:rPr>
        <w:t>Investment Panel</w:t>
      </w:r>
    </w:p>
    <w:p w:rsidR="008F0A35" w:rsidRPr="009E5890" w:rsidRDefault="008F0A35" w:rsidP="008F0A35">
      <w:pPr>
        <w:rPr>
          <w:rFonts w:cs="Arial"/>
          <w:b/>
          <w:color w:val="auto"/>
        </w:rPr>
      </w:pPr>
    </w:p>
    <w:p w:rsidR="008F0A35" w:rsidRPr="009E5890" w:rsidRDefault="008F0A35" w:rsidP="008F0A35">
      <w:pPr>
        <w:rPr>
          <w:color w:val="auto"/>
        </w:rPr>
      </w:pPr>
      <w:r w:rsidRPr="009E5890">
        <w:rPr>
          <w:rFonts w:cs="Arial"/>
          <w:color w:val="auto"/>
        </w:rPr>
        <w:t xml:space="preserve">The Investment Panel consists of two independent advisors, the Treasurer to the Fund (as Chair), the officer of the County Council fulfilling the role of Chief Investment Officer for the Fund and an officer of the County Council identified by the Treasurer to the Fund to oversee investment compliance activities. </w:t>
      </w:r>
    </w:p>
    <w:p w:rsidR="008F0A35" w:rsidRPr="009E5890" w:rsidRDefault="008F0A35" w:rsidP="008F0A35">
      <w:pPr>
        <w:rPr>
          <w:rFonts w:cs="Arial"/>
          <w:color w:val="auto"/>
        </w:rPr>
      </w:pPr>
    </w:p>
    <w:p w:rsidR="008F0A35" w:rsidRPr="009E5890" w:rsidRDefault="008F0A35" w:rsidP="008F0A35">
      <w:pPr>
        <w:rPr>
          <w:rFonts w:cs="Arial"/>
          <w:color w:val="auto"/>
          <w:highlight w:val="yellow"/>
        </w:rPr>
      </w:pPr>
      <w:r w:rsidRPr="009E5890">
        <w:rPr>
          <w:rFonts w:cs="Arial"/>
          <w:color w:val="auto"/>
        </w:rPr>
        <w:t>The Panel meets at least quarterly, or otherwise as necessary. The Panel may operate through sub groups to undertake particular tasks.  It formulates recommendations to the Treasurer to the Fund and/or the Pensions Fund Committee through meetings of the full Panel.</w:t>
      </w:r>
    </w:p>
    <w:p w:rsidR="008F0A35" w:rsidRPr="009E5890" w:rsidRDefault="008F0A35" w:rsidP="008F0A35">
      <w:pPr>
        <w:rPr>
          <w:color w:val="auto"/>
        </w:rPr>
      </w:pPr>
      <w:r w:rsidRPr="009E5890">
        <w:rPr>
          <w:rFonts w:cs="Arial"/>
          <w:color w:val="auto"/>
        </w:rPr>
        <w:t>The Panel is required to provide advice to the Treasurer of the Fund regarding:</w:t>
      </w:r>
    </w:p>
    <w:p w:rsidR="008F0A35" w:rsidRPr="009E5890" w:rsidRDefault="008F0A35" w:rsidP="008F0A35">
      <w:pPr>
        <w:rPr>
          <w:rFonts w:cs="Arial"/>
          <w:b/>
          <w:color w:val="auto"/>
        </w:rPr>
      </w:pPr>
    </w:p>
    <w:p w:rsidR="008F0A35" w:rsidRPr="009E5890" w:rsidRDefault="008F0A35" w:rsidP="008F0A35">
      <w:pPr>
        <w:numPr>
          <w:ilvl w:val="0"/>
          <w:numId w:val="7"/>
        </w:numPr>
        <w:autoSpaceDE/>
        <w:autoSpaceDN/>
        <w:adjustRightInd/>
        <w:spacing w:after="0"/>
        <w:rPr>
          <w:color w:val="auto"/>
        </w:rPr>
      </w:pPr>
      <w:r w:rsidRPr="009E5890">
        <w:rPr>
          <w:rFonts w:cs="Arial"/>
          <w:color w:val="auto"/>
        </w:rPr>
        <w:t>Recommendations to the Pension Fund Committee in relation to the Investment Strategy for the Fund;</w:t>
      </w:r>
    </w:p>
    <w:p w:rsidR="008F0A35" w:rsidRPr="009E5890" w:rsidRDefault="008F0A35" w:rsidP="008F0A35">
      <w:pPr>
        <w:numPr>
          <w:ilvl w:val="0"/>
          <w:numId w:val="7"/>
        </w:numPr>
        <w:autoSpaceDE/>
        <w:autoSpaceDN/>
        <w:adjustRightInd/>
        <w:spacing w:after="0"/>
        <w:rPr>
          <w:color w:val="auto"/>
        </w:rPr>
      </w:pPr>
      <w:r w:rsidRPr="009E5890">
        <w:rPr>
          <w:rFonts w:cs="Arial"/>
          <w:color w:val="auto"/>
        </w:rPr>
        <w:t>The broad composition of the Fund's investment portfolio, management style and types of investment;</w:t>
      </w:r>
    </w:p>
    <w:p w:rsidR="008F0A35" w:rsidRPr="009E5890" w:rsidRDefault="008F0A35" w:rsidP="008F0A35">
      <w:pPr>
        <w:numPr>
          <w:ilvl w:val="0"/>
          <w:numId w:val="7"/>
        </w:numPr>
        <w:autoSpaceDE/>
        <w:autoSpaceDN/>
        <w:adjustRightInd/>
        <w:spacing w:after="0"/>
        <w:rPr>
          <w:color w:val="auto"/>
        </w:rPr>
      </w:pPr>
      <w:r w:rsidRPr="009E5890">
        <w:rPr>
          <w:rFonts w:cs="Arial"/>
          <w:color w:val="auto"/>
        </w:rPr>
        <w:lastRenderedPageBreak/>
        <w:t>The proposed procurement process, tender award criteria and evaluation methodology for external advisers and other external assistance including investment managers, property agents and advisors, corporate governance adviser, Fund Custodian, performance measurement advisers, the Fund Actuary and the Fund's AVC Provider ("external support") to enable the Treasurer to the Fund to seek the approval of the Pension Fund Committee to commence the procurement of any required external support.</w:t>
      </w:r>
    </w:p>
    <w:p w:rsidR="008F0A35" w:rsidRPr="009E5890" w:rsidRDefault="008F0A35" w:rsidP="008F0A35">
      <w:pPr>
        <w:numPr>
          <w:ilvl w:val="0"/>
          <w:numId w:val="7"/>
        </w:numPr>
        <w:autoSpaceDE/>
        <w:autoSpaceDN/>
        <w:adjustRightInd/>
        <w:spacing w:after="0"/>
        <w:rPr>
          <w:color w:val="auto"/>
        </w:rPr>
      </w:pPr>
      <w:r w:rsidRPr="009E5890">
        <w:rPr>
          <w:rFonts w:cs="Arial"/>
          <w:color w:val="auto"/>
        </w:rPr>
        <w:t>The selection and appointment of any required external support (subject to the role of the Pension Fund Committee), their remit and terms of office;</w:t>
      </w:r>
    </w:p>
    <w:p w:rsidR="008F0A35" w:rsidRPr="009E5890" w:rsidRDefault="008F0A35" w:rsidP="008F0A35">
      <w:pPr>
        <w:numPr>
          <w:ilvl w:val="0"/>
          <w:numId w:val="7"/>
        </w:numPr>
        <w:autoSpaceDE/>
        <w:autoSpaceDN/>
        <w:adjustRightInd/>
        <w:spacing w:after="0"/>
        <w:rPr>
          <w:color w:val="auto"/>
        </w:rPr>
      </w:pPr>
      <w:r w:rsidRPr="009E5890">
        <w:rPr>
          <w:rFonts w:cs="Arial"/>
          <w:color w:val="auto"/>
        </w:rPr>
        <w:t>The allocation of ranges and thresholds within which the Investment Managers should operate;</w:t>
      </w:r>
    </w:p>
    <w:p w:rsidR="008F0A35" w:rsidRPr="009E5890" w:rsidRDefault="008F0A35" w:rsidP="008F0A35">
      <w:pPr>
        <w:numPr>
          <w:ilvl w:val="0"/>
          <w:numId w:val="7"/>
        </w:numPr>
        <w:autoSpaceDE/>
        <w:autoSpaceDN/>
        <w:adjustRightInd/>
        <w:spacing w:after="0"/>
        <w:rPr>
          <w:color w:val="auto"/>
        </w:rPr>
      </w:pPr>
      <w:r w:rsidRPr="009E5890">
        <w:rPr>
          <w:rFonts w:cs="Arial"/>
          <w:color w:val="auto"/>
        </w:rPr>
        <w:t>Review of the Statement of Investment Principles and compliance with investment arrangements;</w:t>
      </w:r>
    </w:p>
    <w:p w:rsidR="008F0A35" w:rsidRPr="009E5890" w:rsidRDefault="008F0A35" w:rsidP="008F0A35">
      <w:pPr>
        <w:numPr>
          <w:ilvl w:val="0"/>
          <w:numId w:val="7"/>
        </w:numPr>
        <w:autoSpaceDE/>
        <w:autoSpaceDN/>
        <w:adjustRightInd/>
        <w:spacing w:after="0"/>
        <w:rPr>
          <w:color w:val="auto"/>
        </w:rPr>
      </w:pPr>
      <w:r w:rsidRPr="009E5890">
        <w:rPr>
          <w:rFonts w:cs="Arial"/>
          <w:color w:val="auto"/>
        </w:rPr>
        <w:t>Recommendations on the detailed management of the investment portfolios including the selection of pooled funds; and</w:t>
      </w:r>
    </w:p>
    <w:p w:rsidR="008F0A35" w:rsidRPr="009E5890" w:rsidRDefault="008F0A35" w:rsidP="008F0A35">
      <w:pPr>
        <w:numPr>
          <w:ilvl w:val="0"/>
          <w:numId w:val="7"/>
        </w:numPr>
        <w:autoSpaceDE/>
        <w:autoSpaceDN/>
        <w:adjustRightInd/>
        <w:spacing w:after="0"/>
        <w:rPr>
          <w:color w:val="auto"/>
        </w:rPr>
      </w:pPr>
      <w:r w:rsidRPr="009E5890">
        <w:rPr>
          <w:color w:val="auto"/>
        </w:rPr>
        <w:t>To oversee the performance of the investment managers appointed by the Fund and to report on the Fund's performance.</w:t>
      </w:r>
    </w:p>
    <w:p w:rsidR="008F0A35" w:rsidRPr="009E5890" w:rsidRDefault="008F0A35" w:rsidP="008F0A35">
      <w:pPr>
        <w:ind w:left="360"/>
        <w:rPr>
          <w:color w:val="auto"/>
        </w:rPr>
      </w:pPr>
    </w:p>
    <w:p w:rsidR="0027248E" w:rsidRDefault="008F0A35">
      <w:pPr>
        <w:pStyle w:val="Heading4"/>
        <w:numPr>
          <w:ilvl w:val="0"/>
          <w:numId w:val="0"/>
        </w:numPr>
        <w:ind w:left="284"/>
        <w:jc w:val="both"/>
        <w:rPr>
          <w:sz w:val="24"/>
          <w:szCs w:val="24"/>
        </w:rPr>
      </w:pPr>
      <w:r w:rsidRPr="00997F85">
        <w:rPr>
          <w:sz w:val="24"/>
          <w:szCs w:val="24"/>
        </w:rPr>
        <w:t>Investment Managers</w:t>
      </w:r>
    </w:p>
    <w:p w:rsidR="008F0A35" w:rsidRPr="008C7F7C" w:rsidRDefault="008F0A35" w:rsidP="008F0A35">
      <w:pPr>
        <w:rPr>
          <w:rFonts w:cs="Arial"/>
          <w:sz w:val="20"/>
        </w:rPr>
      </w:pPr>
    </w:p>
    <w:p w:rsidR="008F0A35" w:rsidRPr="008C7F7C" w:rsidRDefault="008F0A35" w:rsidP="008F0A35">
      <w:pPr>
        <w:spacing w:after="240"/>
      </w:pPr>
      <w:r w:rsidRPr="008C7F7C">
        <w:rPr>
          <w:rFonts w:cs="Arial"/>
        </w:rPr>
        <w:t xml:space="preserve">The management of the Fund’s investments is structured so as to provide diversification of management style and produce an acceptable spread of risk across the portfolio whilst maximising returns.  </w:t>
      </w:r>
    </w:p>
    <w:p w:rsidR="008F0A35" w:rsidRDefault="008F0A35" w:rsidP="008F0A35">
      <w:pPr>
        <w:rPr>
          <w:rFonts w:cs="Arial"/>
        </w:rPr>
      </w:pPr>
      <w:r>
        <w:rPr>
          <w:rFonts w:cs="Arial"/>
        </w:rPr>
        <w:t xml:space="preserve">All Fund managers are subject to investment due diligence and all the segregated fund managers are UK FCA </w:t>
      </w:r>
      <w:r w:rsidR="009E5890">
        <w:rPr>
          <w:rFonts w:cs="Arial"/>
        </w:rPr>
        <w:t>or equivalent organisation</w:t>
      </w:r>
      <w:r>
        <w:rPr>
          <w:rFonts w:cs="Arial"/>
        </w:rPr>
        <w:t xml:space="preserve">. </w:t>
      </w:r>
      <w:r w:rsidRPr="005C75FF">
        <w:rPr>
          <w:rFonts w:cs="Arial"/>
        </w:rPr>
        <w:t>New allocations may be made from time to time and Investment Managers are added to, removed or changed as necessary</w:t>
      </w:r>
      <w:r>
        <w:rPr>
          <w:rFonts w:cs="Arial"/>
        </w:rPr>
        <w:t>.</w:t>
      </w:r>
    </w:p>
    <w:p w:rsidR="008F0A35" w:rsidRDefault="008F0A35" w:rsidP="008F0A35">
      <w:pPr>
        <w:spacing w:after="240"/>
      </w:pPr>
      <w:r w:rsidRPr="008C7F7C">
        <w:rPr>
          <w:rFonts w:cs="Arial"/>
        </w:rPr>
        <w:t xml:space="preserve">The Fund's </w:t>
      </w:r>
      <w:r>
        <w:rPr>
          <w:rFonts w:cs="Arial"/>
        </w:rPr>
        <w:t>I</w:t>
      </w:r>
      <w:r w:rsidRPr="008C7F7C">
        <w:rPr>
          <w:rFonts w:cs="Arial"/>
        </w:rPr>
        <w:t xml:space="preserve">nvestment </w:t>
      </w:r>
      <w:r>
        <w:rPr>
          <w:rFonts w:cs="Arial"/>
        </w:rPr>
        <w:t>M</w:t>
      </w:r>
      <w:r w:rsidRPr="008C7F7C">
        <w:rPr>
          <w:rFonts w:cs="Arial"/>
        </w:rPr>
        <w:t>anagers are</w:t>
      </w:r>
      <w:r>
        <w:rPr>
          <w:rFonts w:cs="Arial"/>
        </w:rPr>
        <w:t xml:space="preserve"> listed in its Annual Report.</w:t>
      </w:r>
    </w:p>
    <w:p w:rsidR="00157CEA" w:rsidRPr="00787E2F" w:rsidRDefault="00157CEA" w:rsidP="00612C1F">
      <w:pPr>
        <w:spacing w:after="0"/>
        <w:jc w:val="left"/>
        <w:rPr>
          <w:rFonts w:ascii="TT1915Do00" w:eastAsia="Cambria" w:hAnsi="TT1915Do00" w:cs="TT1915Do00"/>
          <w:color w:val="auto"/>
          <w:lang w:eastAsia="en-GB"/>
        </w:rPr>
      </w:pPr>
    </w:p>
    <w:p w:rsidR="00157CEA" w:rsidRPr="00787E2F" w:rsidRDefault="00157CEA" w:rsidP="00612C1F">
      <w:pPr>
        <w:spacing w:after="0"/>
        <w:jc w:val="left"/>
        <w:rPr>
          <w:rFonts w:eastAsia="Cambria" w:cs="Arial"/>
          <w:color w:val="auto"/>
          <w:sz w:val="28"/>
          <w:szCs w:val="28"/>
          <w:lang w:eastAsia="en-GB"/>
        </w:rPr>
      </w:pPr>
    </w:p>
    <w:p w:rsidR="00612C1F" w:rsidRPr="00E76BC1" w:rsidRDefault="00612C1F" w:rsidP="00E76BC1">
      <w:pPr>
        <w:spacing w:after="240"/>
        <w:jc w:val="left"/>
        <w:rPr>
          <w:rFonts w:ascii="TT1915Do00" w:eastAsia="Cambria" w:hAnsi="TT1915Do00" w:cs="TT1915Do00"/>
          <w:b/>
          <w:color w:val="auto"/>
          <w:lang w:eastAsia="en-GB"/>
        </w:rPr>
      </w:pPr>
      <w:r w:rsidRPr="00E76BC1">
        <w:rPr>
          <w:rFonts w:ascii="TT1915Do00" w:eastAsia="Cambria" w:hAnsi="TT1915Do00" w:cs="TT1915Do00"/>
          <w:b/>
          <w:color w:val="auto"/>
          <w:lang w:eastAsia="en-GB"/>
        </w:rPr>
        <w:t>8. Monitoring and Review</w:t>
      </w:r>
    </w:p>
    <w:p w:rsidR="00612C1F" w:rsidRPr="001F679F" w:rsidRDefault="00612C1F" w:rsidP="009E39D7">
      <w:pPr>
        <w:spacing w:after="240"/>
        <w:jc w:val="left"/>
        <w:rPr>
          <w:rFonts w:ascii="TT1915Do00" w:eastAsia="Cambria" w:hAnsi="TT1915Do00" w:cs="TT1915Do00"/>
          <w:color w:val="auto"/>
          <w:lang w:eastAsia="en-GB"/>
        </w:rPr>
      </w:pPr>
      <w:r w:rsidRPr="001F679F">
        <w:rPr>
          <w:rFonts w:ascii="TT1915Do00" w:eastAsia="Cambria" w:hAnsi="TT1915Do00" w:cs="TT1915Do00"/>
          <w:color w:val="auto"/>
          <w:lang w:eastAsia="en-GB"/>
        </w:rPr>
        <w:t>The Administering Authority has taken advice from the actuary in preparing this</w:t>
      </w:r>
      <w:r w:rsidR="00873DF0" w:rsidRPr="001F679F">
        <w:rPr>
          <w:rFonts w:ascii="TT1915Do00" w:eastAsia="Cambria" w:hAnsi="TT1915Do00" w:cs="TT1915Do00"/>
          <w:color w:val="auto"/>
          <w:lang w:eastAsia="en-GB"/>
        </w:rPr>
        <w:t xml:space="preserve"> </w:t>
      </w:r>
      <w:r w:rsidRPr="001F679F">
        <w:rPr>
          <w:rFonts w:ascii="TT1915Do00" w:eastAsia="Cambria" w:hAnsi="TT1915Do00" w:cs="TT1915Do00"/>
          <w:color w:val="auto"/>
          <w:lang w:eastAsia="en-GB"/>
        </w:rPr>
        <w:t>Statement, and has also consulted with the following key stakeholders:</w:t>
      </w:r>
    </w:p>
    <w:p w:rsidR="00612C1F" w:rsidRPr="001F679F" w:rsidRDefault="00612C1F" w:rsidP="001F679F">
      <w:pPr>
        <w:numPr>
          <w:ilvl w:val="3"/>
          <w:numId w:val="25"/>
        </w:numPr>
        <w:tabs>
          <w:tab w:val="clear" w:pos="2880"/>
          <w:tab w:val="left" w:pos="540"/>
          <w:tab w:val="num" w:pos="1080"/>
        </w:tabs>
        <w:autoSpaceDE/>
        <w:autoSpaceDN/>
        <w:adjustRightInd/>
        <w:spacing w:after="0"/>
        <w:ind w:left="1080" w:hanging="540"/>
        <w:jc w:val="left"/>
        <w:rPr>
          <w:rFonts w:ascii="TT1915Do00" w:eastAsia="Cambria" w:hAnsi="TT1915Do00" w:cs="TT1915Do00"/>
          <w:color w:val="auto"/>
          <w:lang w:eastAsia="en-GB"/>
        </w:rPr>
      </w:pPr>
      <w:r w:rsidRPr="001F679F">
        <w:rPr>
          <w:rFonts w:ascii="TT1915Do00" w:eastAsia="Cambria" w:hAnsi="TT1915Do00" w:cs="TT1915Do00"/>
          <w:color w:val="auto"/>
          <w:lang w:eastAsia="en-GB"/>
        </w:rPr>
        <w:t>Fund Employers</w:t>
      </w:r>
      <w:r w:rsidR="00744E75">
        <w:rPr>
          <w:rFonts w:ascii="TT1915Do00" w:eastAsia="Cambria" w:hAnsi="TT1915Do00" w:cs="TT1915Do00"/>
          <w:color w:val="auto"/>
          <w:lang w:eastAsia="en-GB"/>
        </w:rPr>
        <w:t>;</w:t>
      </w:r>
    </w:p>
    <w:p w:rsidR="00612C1F" w:rsidRPr="001F679F" w:rsidRDefault="00612C1F" w:rsidP="001F679F">
      <w:pPr>
        <w:numPr>
          <w:ilvl w:val="3"/>
          <w:numId w:val="25"/>
        </w:numPr>
        <w:tabs>
          <w:tab w:val="clear" w:pos="2880"/>
          <w:tab w:val="left" w:pos="540"/>
          <w:tab w:val="num" w:pos="1080"/>
        </w:tabs>
        <w:autoSpaceDE/>
        <w:autoSpaceDN/>
        <w:adjustRightInd/>
        <w:spacing w:after="0"/>
        <w:ind w:left="1080" w:hanging="540"/>
        <w:jc w:val="left"/>
        <w:rPr>
          <w:rFonts w:ascii="TT1915Do00" w:eastAsia="Cambria" w:hAnsi="TT1915Do00" w:cs="TT1915Do00"/>
          <w:color w:val="auto"/>
          <w:lang w:eastAsia="en-GB"/>
        </w:rPr>
      </w:pPr>
      <w:r w:rsidRPr="001F679F">
        <w:rPr>
          <w:rFonts w:ascii="TT1915Do00" w:eastAsia="Cambria" w:hAnsi="TT1915Do00" w:cs="TT1915Do00"/>
          <w:color w:val="auto"/>
          <w:lang w:eastAsia="en-GB"/>
        </w:rPr>
        <w:t>The Pension Fund Committee</w:t>
      </w:r>
      <w:r w:rsidR="00744E75">
        <w:rPr>
          <w:rFonts w:ascii="TT1915Do00" w:eastAsia="Cambria" w:hAnsi="TT1915Do00" w:cs="TT1915Do00"/>
          <w:color w:val="auto"/>
          <w:lang w:eastAsia="en-GB"/>
        </w:rPr>
        <w:t>.</w:t>
      </w:r>
    </w:p>
    <w:p w:rsidR="00873DF0" w:rsidRPr="001F679F" w:rsidRDefault="00873DF0" w:rsidP="00612C1F">
      <w:pPr>
        <w:spacing w:after="0"/>
        <w:jc w:val="left"/>
        <w:rPr>
          <w:rFonts w:ascii="TT1915Do00" w:eastAsia="Cambria" w:hAnsi="TT1915Do00" w:cs="TT1915Do00"/>
          <w:color w:val="auto"/>
          <w:lang w:eastAsia="en-GB"/>
        </w:rPr>
      </w:pPr>
    </w:p>
    <w:p w:rsidR="00612C1F" w:rsidRPr="001F679F" w:rsidRDefault="00612C1F" w:rsidP="00612C1F">
      <w:pPr>
        <w:spacing w:after="0"/>
        <w:jc w:val="left"/>
        <w:rPr>
          <w:rFonts w:ascii="TT1915Do00" w:eastAsia="Cambria" w:hAnsi="TT1915Do00" w:cs="TT1915Do00"/>
          <w:color w:val="auto"/>
          <w:lang w:eastAsia="en-GB"/>
        </w:rPr>
      </w:pPr>
      <w:r w:rsidRPr="001F679F">
        <w:rPr>
          <w:rFonts w:ascii="TT1915Do00" w:eastAsia="Cambria" w:hAnsi="TT1915Do00" w:cs="TT1915Do00"/>
          <w:color w:val="auto"/>
          <w:lang w:eastAsia="en-GB"/>
        </w:rPr>
        <w:t>A full review of this Statement will occur no less frequently than every three years,</w:t>
      </w:r>
      <w:r w:rsidR="00873DF0" w:rsidRPr="001F679F">
        <w:rPr>
          <w:rFonts w:ascii="TT1915Do00" w:eastAsia="Cambria" w:hAnsi="TT1915Do00" w:cs="TT1915Do00"/>
          <w:color w:val="auto"/>
          <w:lang w:eastAsia="en-GB"/>
        </w:rPr>
        <w:t xml:space="preserve"> </w:t>
      </w:r>
      <w:r w:rsidRPr="001F679F">
        <w:rPr>
          <w:rFonts w:ascii="TT1915Do00" w:eastAsia="Cambria" w:hAnsi="TT1915Do00" w:cs="TT1915Do00"/>
          <w:color w:val="auto"/>
          <w:lang w:eastAsia="en-GB"/>
        </w:rPr>
        <w:t>to coincide with completion of a full Actuarial Valuation. Any review will take</w:t>
      </w:r>
      <w:r w:rsidR="00873DF0" w:rsidRPr="001F679F">
        <w:rPr>
          <w:rFonts w:ascii="TT1915Do00" w:eastAsia="Cambria" w:hAnsi="TT1915Do00" w:cs="TT1915Do00"/>
          <w:color w:val="auto"/>
          <w:lang w:eastAsia="en-GB"/>
        </w:rPr>
        <w:t xml:space="preserve"> </w:t>
      </w:r>
      <w:r w:rsidRPr="001F679F">
        <w:rPr>
          <w:rFonts w:ascii="TT1915Do00" w:eastAsia="Cambria" w:hAnsi="TT1915Do00" w:cs="TT1915Do00"/>
          <w:color w:val="auto"/>
          <w:lang w:eastAsia="en-GB"/>
        </w:rPr>
        <w:t>account of the current economic conditions and will also reflect any legislative</w:t>
      </w:r>
      <w:r w:rsidR="00873DF0" w:rsidRPr="001F679F">
        <w:rPr>
          <w:rFonts w:ascii="TT1915Do00" w:eastAsia="Cambria" w:hAnsi="TT1915Do00" w:cs="TT1915Do00"/>
          <w:color w:val="auto"/>
          <w:lang w:eastAsia="en-GB"/>
        </w:rPr>
        <w:t xml:space="preserve"> </w:t>
      </w:r>
      <w:r w:rsidRPr="001F679F">
        <w:rPr>
          <w:rFonts w:ascii="TT1915Do00" w:eastAsia="Cambria" w:hAnsi="TT1915Do00" w:cs="TT1915Do00"/>
          <w:color w:val="auto"/>
          <w:lang w:eastAsia="en-GB"/>
        </w:rPr>
        <w:t>changes.</w:t>
      </w:r>
    </w:p>
    <w:p w:rsidR="00873DF0" w:rsidRPr="001F679F" w:rsidRDefault="00873DF0" w:rsidP="00612C1F">
      <w:pPr>
        <w:spacing w:after="0"/>
        <w:jc w:val="left"/>
        <w:rPr>
          <w:rFonts w:ascii="TT1915Do00" w:eastAsia="Cambria" w:hAnsi="TT1915Do00" w:cs="TT1915Do00"/>
          <w:color w:val="auto"/>
          <w:lang w:eastAsia="en-GB"/>
        </w:rPr>
      </w:pPr>
    </w:p>
    <w:p w:rsidR="00612C1F" w:rsidRPr="001F679F" w:rsidRDefault="00612C1F" w:rsidP="00612C1F">
      <w:pPr>
        <w:spacing w:after="0"/>
        <w:jc w:val="left"/>
        <w:rPr>
          <w:rFonts w:ascii="TT1915Do00" w:eastAsia="Cambria" w:hAnsi="TT1915Do00" w:cs="TT1915Do00"/>
          <w:color w:val="auto"/>
          <w:lang w:eastAsia="en-GB"/>
        </w:rPr>
      </w:pPr>
      <w:r w:rsidRPr="001F679F">
        <w:rPr>
          <w:rFonts w:ascii="TT1915Do00" w:eastAsia="Cambria" w:hAnsi="TT1915Do00" w:cs="TT1915Do00"/>
          <w:color w:val="auto"/>
          <w:lang w:eastAsia="en-GB"/>
        </w:rPr>
        <w:t>The Administering Authority will monitor the progress of the funding strategy</w:t>
      </w:r>
      <w:r w:rsidR="00873DF0" w:rsidRPr="001F679F">
        <w:rPr>
          <w:rFonts w:ascii="TT1915Do00" w:eastAsia="Cambria" w:hAnsi="TT1915Do00" w:cs="TT1915Do00"/>
          <w:color w:val="auto"/>
          <w:lang w:eastAsia="en-GB"/>
        </w:rPr>
        <w:t xml:space="preserve"> </w:t>
      </w:r>
      <w:r w:rsidRPr="001F679F">
        <w:rPr>
          <w:rFonts w:ascii="TT1915Do00" w:eastAsia="Cambria" w:hAnsi="TT1915Do00" w:cs="TT1915Do00"/>
          <w:color w:val="auto"/>
          <w:lang w:eastAsia="en-GB"/>
        </w:rPr>
        <w:t>between full Actuarial Valuations. If considered appropriate, the funding strategy</w:t>
      </w:r>
      <w:r w:rsidR="00873DF0" w:rsidRPr="001F679F">
        <w:rPr>
          <w:rFonts w:ascii="TT1915Do00" w:eastAsia="Cambria" w:hAnsi="TT1915Do00" w:cs="TT1915Do00"/>
          <w:color w:val="auto"/>
          <w:lang w:eastAsia="en-GB"/>
        </w:rPr>
        <w:t xml:space="preserve"> </w:t>
      </w:r>
      <w:r w:rsidRPr="001F679F">
        <w:rPr>
          <w:rFonts w:ascii="TT1915Do00" w:eastAsia="Cambria" w:hAnsi="TT1915Do00" w:cs="TT1915Do00"/>
          <w:color w:val="auto"/>
          <w:lang w:eastAsia="en-GB"/>
        </w:rPr>
        <w:t>will be reviewed (other than as part of the triennial valuation process), for example:</w:t>
      </w:r>
    </w:p>
    <w:p w:rsidR="00612C1F" w:rsidRPr="001F679F" w:rsidRDefault="00612C1F" w:rsidP="001F679F">
      <w:pPr>
        <w:numPr>
          <w:ilvl w:val="3"/>
          <w:numId w:val="25"/>
        </w:numPr>
        <w:tabs>
          <w:tab w:val="clear" w:pos="2880"/>
          <w:tab w:val="left" w:pos="540"/>
          <w:tab w:val="num" w:pos="1080"/>
        </w:tabs>
        <w:autoSpaceDE/>
        <w:autoSpaceDN/>
        <w:adjustRightInd/>
        <w:spacing w:after="0"/>
        <w:ind w:left="1080" w:hanging="540"/>
        <w:jc w:val="left"/>
        <w:rPr>
          <w:rFonts w:ascii="TT1915Do00" w:eastAsia="Cambria" w:hAnsi="TT1915Do00" w:cs="TT1915Do00"/>
          <w:color w:val="auto"/>
          <w:lang w:eastAsia="en-GB"/>
        </w:rPr>
      </w:pPr>
      <w:r w:rsidRPr="001F679F">
        <w:rPr>
          <w:rFonts w:ascii="TT1915Do00" w:eastAsia="Cambria" w:hAnsi="TT1915Do00" w:cs="TT1915Do00"/>
          <w:color w:val="auto"/>
          <w:lang w:eastAsia="en-GB"/>
        </w:rPr>
        <w:t>if there has been a significant change in market conditions, and/or deviation in</w:t>
      </w:r>
      <w:r w:rsidR="00CC0CCF" w:rsidRPr="001F679F">
        <w:rPr>
          <w:rFonts w:ascii="TT1915Do00" w:eastAsia="Cambria" w:hAnsi="TT1915Do00" w:cs="TT1915Do00"/>
          <w:color w:val="auto"/>
          <w:lang w:eastAsia="en-GB"/>
        </w:rPr>
        <w:t xml:space="preserve"> </w:t>
      </w:r>
      <w:r w:rsidRPr="001F679F">
        <w:rPr>
          <w:rFonts w:ascii="TT1915Do00" w:eastAsia="Cambria" w:hAnsi="TT1915Do00" w:cs="TT1915Do00"/>
          <w:color w:val="auto"/>
          <w:lang w:eastAsia="en-GB"/>
        </w:rPr>
        <w:t>the progress of the funding strategy</w:t>
      </w:r>
    </w:p>
    <w:p w:rsidR="00612C1F" w:rsidRPr="001F679F" w:rsidRDefault="00612C1F" w:rsidP="001F679F">
      <w:pPr>
        <w:numPr>
          <w:ilvl w:val="3"/>
          <w:numId w:val="25"/>
        </w:numPr>
        <w:tabs>
          <w:tab w:val="clear" w:pos="2880"/>
          <w:tab w:val="left" w:pos="540"/>
          <w:tab w:val="num" w:pos="1080"/>
        </w:tabs>
        <w:autoSpaceDE/>
        <w:autoSpaceDN/>
        <w:adjustRightInd/>
        <w:spacing w:after="0"/>
        <w:ind w:left="1080" w:hanging="540"/>
        <w:jc w:val="left"/>
        <w:rPr>
          <w:rFonts w:ascii="TT1915Do00" w:eastAsia="Cambria" w:hAnsi="TT1915Do00" w:cs="TT1915Do00"/>
          <w:color w:val="auto"/>
          <w:lang w:eastAsia="en-GB"/>
        </w:rPr>
      </w:pPr>
      <w:r w:rsidRPr="001F679F">
        <w:rPr>
          <w:rFonts w:ascii="TT1915Do00" w:eastAsia="Cambria" w:hAnsi="TT1915Do00" w:cs="TT1915Do00"/>
          <w:color w:val="auto"/>
          <w:lang w:eastAsia="en-GB"/>
        </w:rPr>
        <w:lastRenderedPageBreak/>
        <w:t>if there have been significant changes to the Scheme membership, or LGPS</w:t>
      </w:r>
      <w:r w:rsidR="00873DF0" w:rsidRPr="001F679F">
        <w:rPr>
          <w:rFonts w:ascii="TT1915Do00" w:eastAsia="Cambria" w:hAnsi="TT1915Do00" w:cs="TT1915Do00"/>
          <w:color w:val="auto"/>
          <w:lang w:eastAsia="en-GB"/>
        </w:rPr>
        <w:t xml:space="preserve"> </w:t>
      </w:r>
      <w:r w:rsidRPr="001F679F">
        <w:rPr>
          <w:rFonts w:ascii="TT1915Do00" w:eastAsia="Cambria" w:hAnsi="TT1915Do00" w:cs="TT1915Do00"/>
          <w:color w:val="auto"/>
          <w:lang w:eastAsia="en-GB"/>
        </w:rPr>
        <w:t>benefits</w:t>
      </w:r>
    </w:p>
    <w:p w:rsidR="00612C1F" w:rsidRPr="001F679F" w:rsidRDefault="00612C1F" w:rsidP="001F679F">
      <w:pPr>
        <w:numPr>
          <w:ilvl w:val="3"/>
          <w:numId w:val="25"/>
        </w:numPr>
        <w:tabs>
          <w:tab w:val="clear" w:pos="2880"/>
          <w:tab w:val="left" w:pos="540"/>
          <w:tab w:val="num" w:pos="1080"/>
        </w:tabs>
        <w:autoSpaceDE/>
        <w:autoSpaceDN/>
        <w:adjustRightInd/>
        <w:spacing w:after="0"/>
        <w:ind w:left="1080" w:hanging="540"/>
        <w:jc w:val="left"/>
        <w:rPr>
          <w:rFonts w:ascii="TT1915Do00" w:eastAsia="Cambria" w:hAnsi="TT1915Do00" w:cs="TT1915Do00"/>
          <w:color w:val="auto"/>
          <w:lang w:eastAsia="en-GB"/>
        </w:rPr>
      </w:pPr>
      <w:r w:rsidRPr="001F679F">
        <w:rPr>
          <w:rFonts w:ascii="TT1915Do00" w:eastAsia="Cambria" w:hAnsi="TT1915Do00" w:cs="TT1915Do00"/>
          <w:color w:val="auto"/>
          <w:lang w:eastAsia="en-GB"/>
        </w:rPr>
        <w:t>if there have been changes to the circumstances of any of the employing</w:t>
      </w:r>
      <w:r w:rsidR="00873DF0" w:rsidRPr="001F679F">
        <w:rPr>
          <w:rFonts w:ascii="TT1915Do00" w:eastAsia="Cambria" w:hAnsi="TT1915Do00" w:cs="TT1915Do00"/>
          <w:color w:val="auto"/>
          <w:lang w:eastAsia="en-GB"/>
        </w:rPr>
        <w:t xml:space="preserve"> </w:t>
      </w:r>
      <w:r w:rsidRPr="001F679F">
        <w:rPr>
          <w:rFonts w:ascii="TT1915Do00" w:eastAsia="Cambria" w:hAnsi="TT1915Do00" w:cs="TT1915Do00"/>
          <w:color w:val="auto"/>
          <w:lang w:eastAsia="en-GB"/>
        </w:rPr>
        <w:t>authorities to such an extent that they impact on or warrant a change in the</w:t>
      </w:r>
      <w:r w:rsidR="00873DF0" w:rsidRPr="001F679F">
        <w:rPr>
          <w:rFonts w:ascii="TT1915Do00" w:eastAsia="Cambria" w:hAnsi="TT1915Do00" w:cs="TT1915Do00"/>
          <w:color w:val="auto"/>
          <w:lang w:eastAsia="en-GB"/>
        </w:rPr>
        <w:t xml:space="preserve"> </w:t>
      </w:r>
      <w:r w:rsidRPr="001F679F">
        <w:rPr>
          <w:rFonts w:ascii="TT1915Do00" w:eastAsia="Cambria" w:hAnsi="TT1915Do00" w:cs="TT1915Do00"/>
          <w:color w:val="auto"/>
          <w:lang w:eastAsia="en-GB"/>
        </w:rPr>
        <w:t>funding strategy</w:t>
      </w:r>
    </w:p>
    <w:p w:rsidR="00612C1F" w:rsidRPr="001F679F" w:rsidRDefault="00612C1F" w:rsidP="001F679F">
      <w:pPr>
        <w:numPr>
          <w:ilvl w:val="3"/>
          <w:numId w:val="25"/>
        </w:numPr>
        <w:tabs>
          <w:tab w:val="clear" w:pos="2880"/>
          <w:tab w:val="left" w:pos="540"/>
          <w:tab w:val="num" w:pos="1080"/>
        </w:tabs>
        <w:autoSpaceDE/>
        <w:autoSpaceDN/>
        <w:adjustRightInd/>
        <w:spacing w:after="0"/>
        <w:ind w:left="1080" w:hanging="540"/>
        <w:jc w:val="left"/>
        <w:rPr>
          <w:rFonts w:ascii="TT1915Do00" w:eastAsia="Cambria" w:hAnsi="TT1915Do00" w:cs="TT1915Do00"/>
          <w:color w:val="auto"/>
          <w:lang w:eastAsia="en-GB"/>
        </w:rPr>
      </w:pPr>
      <w:r w:rsidRPr="001F679F">
        <w:rPr>
          <w:rFonts w:ascii="TT1915Do00" w:eastAsia="Cambria" w:hAnsi="TT1915Do00" w:cs="TT1915Do00"/>
          <w:color w:val="auto"/>
          <w:lang w:eastAsia="en-GB"/>
        </w:rPr>
        <w:t>if there have been any significant special contributions paid into the Scheme.</w:t>
      </w:r>
    </w:p>
    <w:p w:rsidR="00D371BE" w:rsidRDefault="00D371BE">
      <w:pPr>
        <w:autoSpaceDE/>
        <w:autoSpaceDN/>
        <w:adjustRightInd/>
        <w:spacing w:after="0"/>
        <w:jc w:val="left"/>
        <w:rPr>
          <w:rFonts w:ascii="TT1915Ao00" w:eastAsia="Cambria" w:hAnsi="TT1915Ao00" w:cs="TT1915Ao00"/>
          <w:color w:val="FF0000"/>
          <w:lang w:eastAsia="en-GB"/>
        </w:rPr>
      </w:pPr>
      <w:r>
        <w:rPr>
          <w:rFonts w:ascii="TT1915Ao00" w:eastAsia="Cambria" w:hAnsi="TT1915Ao00" w:cs="TT1915Ao00"/>
          <w:color w:val="FF0000"/>
          <w:lang w:eastAsia="en-GB"/>
        </w:rPr>
        <w:br w:type="page"/>
      </w:r>
    </w:p>
    <w:p w:rsidR="00612C1F" w:rsidRPr="007D4DD7" w:rsidRDefault="00612C1F" w:rsidP="00612C1F">
      <w:pPr>
        <w:spacing w:after="0"/>
        <w:jc w:val="left"/>
        <w:rPr>
          <w:rFonts w:ascii="TT1915Ao00" w:eastAsia="Cambria" w:hAnsi="TT1915Ao00" w:cs="TT1915Ao00"/>
          <w:color w:val="auto"/>
          <w:lang w:eastAsia="en-GB"/>
        </w:rPr>
      </w:pPr>
    </w:p>
    <w:p w:rsidR="00612C1F" w:rsidRPr="00930A65" w:rsidRDefault="00612C1F" w:rsidP="00612C1F">
      <w:pPr>
        <w:spacing w:after="0"/>
        <w:jc w:val="left"/>
        <w:rPr>
          <w:rFonts w:ascii="TT1915Ao00" w:eastAsia="Cambria" w:hAnsi="TT1915Ao00" w:cs="TT1915Ao00"/>
          <w:b/>
          <w:color w:val="000000" w:themeColor="text1"/>
          <w:lang w:eastAsia="en-GB"/>
        </w:rPr>
      </w:pPr>
      <w:r w:rsidRPr="00930A65">
        <w:rPr>
          <w:rFonts w:ascii="TT1915Ao00" w:eastAsia="Cambria" w:hAnsi="TT1915Ao00" w:cs="TT1915Ao00"/>
          <w:b/>
          <w:color w:val="000000" w:themeColor="text1"/>
          <w:lang w:eastAsia="en-GB"/>
        </w:rPr>
        <w:t>Annex 1</w:t>
      </w:r>
    </w:p>
    <w:p w:rsidR="00873DF0" w:rsidRPr="00930A65" w:rsidRDefault="00873DF0" w:rsidP="00612C1F">
      <w:pPr>
        <w:spacing w:after="0"/>
        <w:jc w:val="left"/>
        <w:rPr>
          <w:rFonts w:ascii="TT1915Ao00" w:eastAsia="Cambria" w:hAnsi="TT1915Ao00" w:cs="TT1915Ao00"/>
          <w:b/>
          <w:color w:val="000000" w:themeColor="text1"/>
          <w:lang w:eastAsia="en-GB"/>
        </w:rPr>
      </w:pPr>
    </w:p>
    <w:p w:rsidR="00612C1F" w:rsidRPr="00930A65" w:rsidRDefault="00612C1F" w:rsidP="00612C1F">
      <w:pPr>
        <w:spacing w:after="0"/>
        <w:jc w:val="left"/>
        <w:rPr>
          <w:rFonts w:ascii="TT1915Ao00" w:eastAsia="Cambria" w:hAnsi="TT1915Ao00" w:cs="TT1915Ao00"/>
          <w:b/>
          <w:color w:val="000000" w:themeColor="text1"/>
          <w:lang w:eastAsia="en-GB"/>
        </w:rPr>
      </w:pPr>
      <w:r w:rsidRPr="00930A65">
        <w:rPr>
          <w:rFonts w:ascii="TT1915Ao00" w:eastAsia="Cambria" w:hAnsi="TT1915Ao00" w:cs="TT1915Ao00"/>
          <w:b/>
          <w:color w:val="000000" w:themeColor="text1"/>
          <w:lang w:eastAsia="en-GB"/>
        </w:rPr>
        <w:t>Method and assumptions used in calculating the funding target</w:t>
      </w:r>
    </w:p>
    <w:p w:rsidR="00873DF0" w:rsidRPr="00930A65" w:rsidRDefault="00873DF0" w:rsidP="00612C1F">
      <w:pPr>
        <w:spacing w:after="0"/>
        <w:jc w:val="left"/>
        <w:rPr>
          <w:rFonts w:ascii="TT1915Ao00" w:eastAsia="Cambria" w:hAnsi="TT1915Ao00" w:cs="TT1915Ao00"/>
          <w:color w:val="000000" w:themeColor="text1"/>
          <w:lang w:eastAsia="en-GB"/>
        </w:rPr>
      </w:pPr>
    </w:p>
    <w:p w:rsidR="00612C1F" w:rsidRDefault="00612C1F" w:rsidP="00612C1F">
      <w:pPr>
        <w:spacing w:after="0"/>
        <w:jc w:val="left"/>
        <w:rPr>
          <w:rFonts w:ascii="TT1915Ao00" w:eastAsia="Cambria" w:hAnsi="TT1915Ao00" w:cs="TT1915Ao00"/>
          <w:b/>
          <w:color w:val="000000" w:themeColor="text1"/>
          <w:lang w:eastAsia="en-GB"/>
        </w:rPr>
      </w:pPr>
      <w:r w:rsidRPr="00930A65">
        <w:rPr>
          <w:rFonts w:ascii="TT1915Ao00" w:eastAsia="Cambria" w:hAnsi="TT1915Ao00" w:cs="TT1915Ao00"/>
          <w:b/>
          <w:color w:val="000000" w:themeColor="text1"/>
          <w:lang w:eastAsia="en-GB"/>
        </w:rPr>
        <w:t>Method</w:t>
      </w:r>
    </w:p>
    <w:p w:rsidR="00371BC0" w:rsidRPr="00930A65" w:rsidRDefault="00371BC0" w:rsidP="00612C1F">
      <w:pPr>
        <w:spacing w:after="0"/>
        <w:jc w:val="left"/>
        <w:rPr>
          <w:rFonts w:ascii="TT1915Ao00" w:eastAsia="Cambria" w:hAnsi="TT1915Ao00" w:cs="TT1915Ao00"/>
          <w:b/>
          <w:color w:val="000000" w:themeColor="text1"/>
          <w:lang w:eastAsia="en-GB"/>
        </w:rPr>
      </w:pPr>
    </w:p>
    <w:p w:rsidR="00612C1F" w:rsidRPr="00930A65" w:rsidRDefault="00612C1F" w:rsidP="00612C1F">
      <w:pPr>
        <w:spacing w:after="0"/>
        <w:jc w:val="left"/>
        <w:rPr>
          <w:rFonts w:ascii="TT1915Do00" w:eastAsia="Cambria" w:hAnsi="TT1915Do00" w:cs="TT1915Do00"/>
          <w:color w:val="000000" w:themeColor="text1"/>
          <w:lang w:eastAsia="en-GB"/>
        </w:rPr>
      </w:pPr>
      <w:r w:rsidRPr="00930A65">
        <w:rPr>
          <w:rFonts w:ascii="TT1915Do00" w:eastAsia="Cambria" w:hAnsi="TT1915Do00" w:cs="TT1915Do00"/>
          <w:color w:val="000000" w:themeColor="text1"/>
          <w:lang w:eastAsia="en-GB"/>
        </w:rPr>
        <w:t>The actuarial method to be used in the calculation of the funding target is the Projected</w:t>
      </w:r>
      <w:r w:rsidR="00873DF0"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Unit method, under which the salary increases assumed for each member are projected</w:t>
      </w:r>
      <w:r w:rsidR="00873DF0"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until that member is assumed to leave active service by death, retirement or withdrawal</w:t>
      </w:r>
      <w:r w:rsidR="00873DF0"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from service. This method implicitly allows for new entrants to the scheme on the basis</w:t>
      </w:r>
      <w:r w:rsidR="00873DF0"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that the overall age profile of the active membership will remain stable. As a result, for</w:t>
      </w:r>
      <w:r w:rsidR="00873DF0"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those employers which are closed to new entrants, an alternative method is adopted</w:t>
      </w:r>
      <w:r w:rsidR="00873DF0"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(the Attained Age method), which makes advance allowance for the anticipated future</w:t>
      </w:r>
      <w:r w:rsidR="00873DF0"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ageing and decline of the current closed membership group.</w:t>
      </w:r>
    </w:p>
    <w:p w:rsidR="00873DF0" w:rsidRPr="00930A65" w:rsidRDefault="00873DF0" w:rsidP="00612C1F">
      <w:pPr>
        <w:spacing w:after="0"/>
        <w:jc w:val="left"/>
        <w:rPr>
          <w:rFonts w:ascii="TT1915Ao00" w:eastAsia="Cambria" w:hAnsi="TT1915Ao00" w:cs="TT1915Ao00"/>
          <w:color w:val="000000" w:themeColor="text1"/>
          <w:lang w:eastAsia="en-GB"/>
        </w:rPr>
      </w:pPr>
    </w:p>
    <w:p w:rsidR="00612C1F" w:rsidRPr="00930A65" w:rsidRDefault="00612C1F" w:rsidP="00612C1F">
      <w:pPr>
        <w:spacing w:after="0"/>
        <w:jc w:val="left"/>
        <w:rPr>
          <w:rFonts w:ascii="TT1915Ao00" w:eastAsia="Cambria" w:hAnsi="TT1915Ao00" w:cs="TT1915Ao00"/>
          <w:b/>
          <w:color w:val="000000" w:themeColor="text1"/>
          <w:lang w:eastAsia="en-GB"/>
        </w:rPr>
      </w:pPr>
      <w:r w:rsidRPr="00930A65">
        <w:rPr>
          <w:rFonts w:ascii="TT1915Ao00" w:eastAsia="Cambria" w:hAnsi="TT1915Ao00" w:cs="TT1915Ao00"/>
          <w:b/>
          <w:color w:val="000000" w:themeColor="text1"/>
          <w:lang w:eastAsia="en-GB"/>
        </w:rPr>
        <w:t>Financial assumptions</w:t>
      </w:r>
    </w:p>
    <w:p w:rsidR="00930A65" w:rsidRDefault="00930A65" w:rsidP="00612C1F">
      <w:pPr>
        <w:spacing w:after="0"/>
        <w:jc w:val="left"/>
        <w:rPr>
          <w:rFonts w:ascii="TT1915Do00" w:eastAsia="Cambria" w:hAnsi="TT1915Do00" w:cs="TT1915Do00"/>
          <w:color w:val="000000" w:themeColor="text1"/>
          <w:lang w:eastAsia="en-GB"/>
        </w:rPr>
      </w:pPr>
    </w:p>
    <w:p w:rsidR="00612C1F" w:rsidRPr="00930A65" w:rsidRDefault="00612C1F" w:rsidP="00612C1F">
      <w:pPr>
        <w:spacing w:after="0"/>
        <w:jc w:val="left"/>
        <w:rPr>
          <w:rFonts w:ascii="TT1915Do00" w:eastAsia="Cambria" w:hAnsi="TT1915Do00" w:cs="TT1915Do00"/>
          <w:b/>
          <w:i/>
          <w:color w:val="000000" w:themeColor="text1"/>
          <w:lang w:eastAsia="en-GB"/>
        </w:rPr>
      </w:pPr>
      <w:r w:rsidRPr="00930A65">
        <w:rPr>
          <w:rFonts w:ascii="TT1915Do00" w:eastAsia="Cambria" w:hAnsi="TT1915Do00" w:cs="TT1915Do00"/>
          <w:b/>
          <w:i/>
          <w:color w:val="000000" w:themeColor="text1"/>
          <w:lang w:eastAsia="en-GB"/>
        </w:rPr>
        <w:t>Investment return (discount rate)</w:t>
      </w:r>
    </w:p>
    <w:p w:rsidR="00612C1F" w:rsidRPr="00930A65" w:rsidRDefault="00612C1F" w:rsidP="00612C1F">
      <w:pPr>
        <w:spacing w:after="0"/>
        <w:jc w:val="left"/>
        <w:rPr>
          <w:rFonts w:ascii="TT1915Do00" w:eastAsia="Cambria" w:hAnsi="TT1915Do00" w:cs="TT1915Do00"/>
          <w:color w:val="000000" w:themeColor="text1"/>
          <w:lang w:eastAsia="en-GB"/>
        </w:rPr>
      </w:pPr>
      <w:r w:rsidRPr="00930A65">
        <w:rPr>
          <w:rFonts w:ascii="TT1915Do00" w:eastAsia="Cambria" w:hAnsi="TT1915Do00" w:cs="TT1915Do00"/>
          <w:color w:val="000000" w:themeColor="text1"/>
          <w:lang w:eastAsia="en-GB"/>
        </w:rPr>
        <w:t>A yield based on market returns on UK Government gilt stocks and other instruments</w:t>
      </w:r>
      <w:r w:rsidR="00873DF0"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which reflects a market consistent discount rate for the profile and duration of the</w:t>
      </w:r>
      <w:r w:rsidR="00873DF0"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Scheme’s accrued liabilities, plus an Asset Out-performance Assumption (“AOA”) of</w:t>
      </w:r>
      <w:r w:rsidR="00873DF0" w:rsidRPr="00930A65">
        <w:rPr>
          <w:rFonts w:ascii="TT1915Do00" w:eastAsia="Cambria" w:hAnsi="TT1915Do00" w:cs="TT1915Do00"/>
          <w:color w:val="000000" w:themeColor="text1"/>
          <w:lang w:eastAsia="en-GB"/>
        </w:rPr>
        <w:t xml:space="preserve"> </w:t>
      </w:r>
      <w:r w:rsidR="00930A65">
        <w:rPr>
          <w:rFonts w:ascii="TT1915Do00" w:eastAsia="Cambria" w:hAnsi="TT1915Do00" w:cs="TT1915Do00"/>
          <w:color w:val="000000" w:themeColor="text1"/>
          <w:lang w:eastAsia="en-GB"/>
        </w:rPr>
        <w:t>1.6</w:t>
      </w:r>
      <w:r w:rsidRPr="00930A65">
        <w:rPr>
          <w:rFonts w:ascii="TT1915Do00" w:eastAsia="Cambria" w:hAnsi="TT1915Do00" w:cs="TT1915Do00"/>
          <w:color w:val="000000" w:themeColor="text1"/>
          <w:lang w:eastAsia="en-GB"/>
        </w:rPr>
        <w:t>% p.a.</w:t>
      </w:r>
    </w:p>
    <w:p w:rsidR="00873DF0" w:rsidRPr="00930A65" w:rsidRDefault="00873DF0" w:rsidP="00612C1F">
      <w:pPr>
        <w:spacing w:after="0"/>
        <w:jc w:val="left"/>
        <w:rPr>
          <w:rFonts w:ascii="TT1915Do00" w:eastAsia="Cambria" w:hAnsi="TT1915Do00" w:cs="TT1915Do00"/>
          <w:color w:val="000000" w:themeColor="text1"/>
          <w:lang w:eastAsia="en-GB"/>
        </w:rPr>
      </w:pPr>
    </w:p>
    <w:p w:rsidR="00612C1F" w:rsidRPr="00930A65" w:rsidRDefault="00612C1F" w:rsidP="00612C1F">
      <w:pPr>
        <w:spacing w:after="0"/>
        <w:jc w:val="left"/>
        <w:rPr>
          <w:rFonts w:ascii="TT1915Do00" w:eastAsia="Cambria" w:hAnsi="TT1915Do00" w:cs="TT1915Do00"/>
          <w:color w:val="000000" w:themeColor="text1"/>
          <w:lang w:eastAsia="en-GB"/>
        </w:rPr>
      </w:pPr>
      <w:r w:rsidRPr="00930A65">
        <w:rPr>
          <w:rFonts w:ascii="TT1915Do00" w:eastAsia="Cambria" w:hAnsi="TT1915Do00" w:cs="TT1915Do00"/>
          <w:color w:val="000000" w:themeColor="text1"/>
          <w:lang w:eastAsia="en-GB"/>
        </w:rPr>
        <w:t>The asset out-performance assumptions represent the allowance made, in calculating</w:t>
      </w:r>
      <w:r w:rsidR="00873DF0"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the funding target, for the long term additional investment performance on the assets of</w:t>
      </w:r>
      <w:r w:rsidR="00873DF0"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the Fund relative to the yields available on long dated gilt stocks as at the valuation</w:t>
      </w:r>
      <w:r w:rsidR="00873DF0"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 xml:space="preserve">date. </w:t>
      </w:r>
    </w:p>
    <w:p w:rsidR="00873DF0" w:rsidRPr="00930A65" w:rsidRDefault="00873DF0" w:rsidP="00612C1F">
      <w:pPr>
        <w:spacing w:after="0"/>
        <w:jc w:val="left"/>
        <w:rPr>
          <w:rFonts w:ascii="TT1915Do00" w:eastAsia="Cambria" w:hAnsi="TT1915Do00" w:cs="TT1915Do00"/>
          <w:color w:val="000000" w:themeColor="text1"/>
          <w:lang w:eastAsia="en-GB"/>
        </w:rPr>
      </w:pPr>
    </w:p>
    <w:p w:rsidR="00873DF0" w:rsidRPr="00930A65" w:rsidRDefault="00873DF0" w:rsidP="00612C1F">
      <w:pPr>
        <w:spacing w:after="0"/>
        <w:jc w:val="left"/>
        <w:rPr>
          <w:rFonts w:ascii="TT1915Ao00" w:eastAsia="Cambria" w:hAnsi="TT1915Ao00" w:cs="TT1915Ao00"/>
          <w:color w:val="000000" w:themeColor="text1"/>
          <w:lang w:eastAsia="en-GB"/>
        </w:rPr>
      </w:pPr>
    </w:p>
    <w:p w:rsidR="00612C1F" w:rsidRPr="00930A65" w:rsidRDefault="00612C1F" w:rsidP="00612C1F">
      <w:pPr>
        <w:spacing w:after="0"/>
        <w:jc w:val="left"/>
        <w:rPr>
          <w:rFonts w:ascii="TT1915Do00" w:eastAsia="Cambria" w:hAnsi="TT1915Do00" w:cs="TT1915Do00"/>
          <w:b/>
          <w:i/>
          <w:color w:val="000000" w:themeColor="text1"/>
          <w:lang w:eastAsia="en-GB"/>
        </w:rPr>
      </w:pPr>
      <w:r w:rsidRPr="00930A65">
        <w:rPr>
          <w:rFonts w:ascii="TT1915Do00" w:eastAsia="Cambria" w:hAnsi="TT1915Do00" w:cs="TT1915Do00"/>
          <w:b/>
          <w:i/>
          <w:color w:val="000000" w:themeColor="text1"/>
          <w:lang w:eastAsia="en-GB"/>
        </w:rPr>
        <w:t>Inflation (Consumer Prices Index)</w:t>
      </w:r>
    </w:p>
    <w:p w:rsidR="00612C1F" w:rsidRPr="00930A65" w:rsidRDefault="00612C1F" w:rsidP="00612C1F">
      <w:pPr>
        <w:spacing w:after="0"/>
        <w:jc w:val="left"/>
        <w:rPr>
          <w:rFonts w:ascii="TT1915Do00" w:eastAsia="Cambria" w:hAnsi="TT1915Do00" w:cs="TT1915Do00"/>
          <w:color w:val="000000" w:themeColor="text1"/>
          <w:lang w:eastAsia="en-GB"/>
        </w:rPr>
      </w:pPr>
      <w:r w:rsidRPr="00930A65">
        <w:rPr>
          <w:rFonts w:ascii="TT1915Do00" w:eastAsia="Cambria" w:hAnsi="TT1915Do00" w:cs="TT1915Do00"/>
          <w:color w:val="000000" w:themeColor="text1"/>
          <w:lang w:eastAsia="en-GB"/>
        </w:rPr>
        <w:t>The inflation assumption will be taken to be the investment market’s expectation for RPI</w:t>
      </w:r>
      <w:r w:rsidR="00640C0A"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inflation as indicated by the difference between yields derived from market instruments,</w:t>
      </w:r>
      <w:r w:rsidR="00640C0A"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principally conventional and index-linked UK Government gilts as at the valuation date,</w:t>
      </w:r>
      <w:r w:rsidR="00640C0A"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reflecting the profile and duration of the Scheme’s accrued liabilities but subject to the</w:t>
      </w:r>
      <w:r w:rsidR="00640C0A"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following two adjustments</w:t>
      </w:r>
      <w:r w:rsidR="00A467F4">
        <w:rPr>
          <w:rFonts w:ascii="TT1915Do00" w:eastAsia="Cambria" w:hAnsi="TT1915Do00" w:cs="TT1915Do00"/>
          <w:color w:val="000000" w:themeColor="text1"/>
          <w:lang w:eastAsia="en-GB"/>
        </w:rPr>
        <w:t>:</w:t>
      </w:r>
    </w:p>
    <w:p w:rsidR="00640C0A" w:rsidRPr="00930A65" w:rsidRDefault="00640C0A" w:rsidP="00612C1F">
      <w:pPr>
        <w:spacing w:after="0"/>
        <w:jc w:val="left"/>
        <w:rPr>
          <w:rFonts w:ascii="TT1915Do00" w:eastAsia="Cambria" w:hAnsi="TT1915Do00" w:cs="TT1915Do00"/>
          <w:color w:val="000000" w:themeColor="text1"/>
          <w:lang w:eastAsia="en-GB"/>
        </w:rPr>
      </w:pPr>
    </w:p>
    <w:p w:rsidR="00612C1F" w:rsidRPr="00930A65" w:rsidRDefault="00612C1F" w:rsidP="00612C1F">
      <w:pPr>
        <w:spacing w:after="0"/>
        <w:jc w:val="left"/>
        <w:rPr>
          <w:rFonts w:ascii="TT1915Do00" w:eastAsia="Cambria" w:hAnsi="TT1915Do00" w:cs="TT1915Do00"/>
          <w:color w:val="000000" w:themeColor="text1"/>
          <w:lang w:eastAsia="en-GB"/>
        </w:rPr>
      </w:pPr>
      <w:r w:rsidRPr="00930A65">
        <w:rPr>
          <w:rFonts w:ascii="TT1915Eo00" w:eastAsia="Cambria" w:hAnsi="TT1915Eo00" w:cs="TT1915Eo00"/>
          <w:color w:val="000000" w:themeColor="text1"/>
          <w:lang w:eastAsia="en-GB"/>
        </w:rPr>
        <w:t xml:space="preserve">• </w:t>
      </w:r>
      <w:r w:rsidRPr="00930A65">
        <w:rPr>
          <w:rFonts w:ascii="TT1915Do00" w:eastAsia="Cambria" w:hAnsi="TT1915Do00" w:cs="TT1915Do00"/>
          <w:color w:val="000000" w:themeColor="text1"/>
          <w:lang w:eastAsia="en-GB"/>
        </w:rPr>
        <w:t>An allowance for supply/demand distortions in the bond market (an</w:t>
      </w:r>
      <w:r w:rsidR="00640C0A"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“inflation risk premium”) is incorporated and</w:t>
      </w:r>
    </w:p>
    <w:p w:rsidR="00612C1F" w:rsidRPr="00930A65" w:rsidRDefault="00612C1F" w:rsidP="00612C1F">
      <w:pPr>
        <w:spacing w:after="0"/>
        <w:jc w:val="left"/>
        <w:rPr>
          <w:rFonts w:ascii="TT1915Do00" w:eastAsia="Cambria" w:hAnsi="TT1915Do00" w:cs="TT1915Do00"/>
          <w:color w:val="000000" w:themeColor="text1"/>
          <w:lang w:eastAsia="en-GB"/>
        </w:rPr>
      </w:pPr>
      <w:r w:rsidRPr="00930A65">
        <w:rPr>
          <w:rFonts w:ascii="TT1915Eo00" w:eastAsia="Cambria" w:hAnsi="TT1915Eo00" w:cs="TT1915Eo00"/>
          <w:color w:val="000000" w:themeColor="text1"/>
          <w:lang w:eastAsia="en-GB"/>
        </w:rPr>
        <w:t xml:space="preserve">• </w:t>
      </w:r>
      <w:r w:rsidRPr="00930A65">
        <w:rPr>
          <w:rFonts w:ascii="TT1915Do00" w:eastAsia="Cambria" w:hAnsi="TT1915Do00" w:cs="TT1915Do00"/>
          <w:color w:val="000000" w:themeColor="text1"/>
          <w:lang w:eastAsia="en-GB"/>
        </w:rPr>
        <w:t>An allowance for pensions being increased annually by the</w:t>
      </w:r>
      <w:r w:rsidR="00640C0A"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change in the Consumer Price Index rather than the Retail Price Index.</w:t>
      </w:r>
    </w:p>
    <w:p w:rsidR="00640C0A" w:rsidRPr="00930A65" w:rsidRDefault="00640C0A" w:rsidP="00612C1F">
      <w:pPr>
        <w:spacing w:after="0"/>
        <w:jc w:val="left"/>
        <w:rPr>
          <w:rFonts w:ascii="TT1915Do00" w:eastAsia="Cambria" w:hAnsi="TT1915Do00" w:cs="TT1915Do00"/>
          <w:color w:val="000000" w:themeColor="text1"/>
          <w:lang w:eastAsia="en-GB"/>
        </w:rPr>
      </w:pPr>
    </w:p>
    <w:p w:rsidR="00612C1F" w:rsidRPr="00930A65" w:rsidRDefault="00612C1F" w:rsidP="00612C1F">
      <w:pPr>
        <w:spacing w:after="0"/>
        <w:jc w:val="left"/>
        <w:rPr>
          <w:rFonts w:ascii="TT1915Do00" w:eastAsia="Cambria" w:hAnsi="TT1915Do00" w:cs="TT1915Do00"/>
          <w:color w:val="000000" w:themeColor="text1"/>
          <w:lang w:eastAsia="en-GB"/>
        </w:rPr>
      </w:pPr>
      <w:r w:rsidRPr="00930A65">
        <w:rPr>
          <w:rFonts w:ascii="TT1915Do00" w:eastAsia="Cambria" w:hAnsi="TT1915Do00" w:cs="TT1915Do00"/>
          <w:color w:val="000000" w:themeColor="text1"/>
          <w:lang w:eastAsia="en-GB"/>
        </w:rPr>
        <w:t>The overall reduction to RPI inflation as implied by the investment markets at the</w:t>
      </w:r>
      <w:r w:rsidR="00640C0A"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 xml:space="preserve">valuation date is </w:t>
      </w:r>
      <w:r w:rsidR="00A467F4">
        <w:rPr>
          <w:rFonts w:ascii="TT1915Do00" w:eastAsia="Cambria" w:hAnsi="TT1915Do00" w:cs="TT1915Do00"/>
          <w:color w:val="000000" w:themeColor="text1"/>
          <w:lang w:eastAsia="en-GB"/>
        </w:rPr>
        <w:t>1.0</w:t>
      </w:r>
      <w:r w:rsidRPr="00930A65">
        <w:rPr>
          <w:rFonts w:ascii="TT1915Do00" w:eastAsia="Cambria" w:hAnsi="TT1915Do00" w:cs="TT1915Do00"/>
          <w:color w:val="000000" w:themeColor="text1"/>
          <w:lang w:eastAsia="en-GB"/>
        </w:rPr>
        <w:t>% per annum.</w:t>
      </w:r>
    </w:p>
    <w:p w:rsidR="00640C0A" w:rsidRPr="00930A65" w:rsidRDefault="00640C0A" w:rsidP="00612C1F">
      <w:pPr>
        <w:spacing w:after="0"/>
        <w:jc w:val="left"/>
        <w:rPr>
          <w:rFonts w:ascii="TT1915Do00" w:eastAsia="Cambria" w:hAnsi="TT1915Do00" w:cs="TT1915Do00"/>
          <w:color w:val="000000" w:themeColor="text1"/>
          <w:lang w:eastAsia="en-GB"/>
        </w:rPr>
      </w:pPr>
    </w:p>
    <w:p w:rsidR="00612C1F" w:rsidRPr="00930A65" w:rsidRDefault="00612C1F" w:rsidP="00612C1F">
      <w:pPr>
        <w:spacing w:after="0"/>
        <w:jc w:val="left"/>
        <w:rPr>
          <w:rFonts w:ascii="TT1915Do00" w:eastAsia="Cambria" w:hAnsi="TT1915Do00" w:cs="TT1915Do00"/>
          <w:b/>
          <w:i/>
          <w:color w:val="000000" w:themeColor="text1"/>
          <w:lang w:eastAsia="en-GB"/>
        </w:rPr>
      </w:pPr>
      <w:r w:rsidRPr="00930A65">
        <w:rPr>
          <w:rFonts w:ascii="TT1915Do00" w:eastAsia="Cambria" w:hAnsi="TT1915Do00" w:cs="TT1915Do00"/>
          <w:b/>
          <w:i/>
          <w:color w:val="000000" w:themeColor="text1"/>
          <w:lang w:eastAsia="en-GB"/>
        </w:rPr>
        <w:t>Salary increases</w:t>
      </w:r>
    </w:p>
    <w:p w:rsidR="00612C1F" w:rsidRDefault="00612C1F" w:rsidP="00612C1F">
      <w:pPr>
        <w:spacing w:after="0"/>
        <w:jc w:val="left"/>
        <w:rPr>
          <w:rFonts w:ascii="TT1915Do00" w:eastAsia="Cambria" w:hAnsi="TT1915Do00" w:cs="TT1915Do00"/>
          <w:color w:val="000000" w:themeColor="text1"/>
          <w:lang w:eastAsia="en-GB"/>
        </w:rPr>
      </w:pPr>
      <w:r w:rsidRPr="00930A65">
        <w:rPr>
          <w:rFonts w:ascii="TT1915Do00" w:eastAsia="Cambria" w:hAnsi="TT1915Do00" w:cs="TT1915Do00"/>
          <w:color w:val="000000" w:themeColor="text1"/>
          <w:lang w:eastAsia="en-GB"/>
        </w:rPr>
        <w:t>The assumption for real salary increases (salary increases in excess of price inflation)</w:t>
      </w:r>
      <w:r w:rsidR="00640C0A" w:rsidRPr="00930A65">
        <w:rPr>
          <w:rFonts w:ascii="TT1915Do00" w:eastAsia="Cambria" w:hAnsi="TT1915Do00" w:cs="TT1915Do00"/>
          <w:color w:val="000000" w:themeColor="text1"/>
          <w:lang w:eastAsia="en-GB"/>
        </w:rPr>
        <w:t xml:space="preserve"> </w:t>
      </w:r>
      <w:r w:rsidR="00371BC0">
        <w:rPr>
          <w:rFonts w:ascii="TT1915Do00" w:eastAsia="Cambria" w:hAnsi="TT1915Do00" w:cs="TT1915Do00"/>
          <w:color w:val="000000" w:themeColor="text1"/>
          <w:lang w:eastAsia="en-GB"/>
        </w:rPr>
        <w:t xml:space="preserve">in the long term </w:t>
      </w:r>
      <w:r w:rsidR="00640C0A" w:rsidRPr="00930A65">
        <w:rPr>
          <w:rFonts w:ascii="TT1915Do00" w:eastAsia="Cambria" w:hAnsi="TT1915Do00" w:cs="TT1915Do00"/>
          <w:color w:val="000000" w:themeColor="text1"/>
          <w:lang w:eastAsia="en-GB"/>
        </w:rPr>
        <w:t>w</w:t>
      </w:r>
      <w:r w:rsidRPr="00930A65">
        <w:rPr>
          <w:rFonts w:ascii="TT1915Do00" w:eastAsia="Cambria" w:hAnsi="TT1915Do00" w:cs="TT1915Do00"/>
          <w:color w:val="000000" w:themeColor="text1"/>
          <w:lang w:eastAsia="en-GB"/>
        </w:rPr>
        <w:t xml:space="preserve">ill be determined by an allowance of </w:t>
      </w:r>
      <w:r w:rsidR="00371BC0">
        <w:rPr>
          <w:rFonts w:ascii="TT1915Do00" w:eastAsia="Cambria" w:hAnsi="TT1915Do00" w:cs="TT1915Do00"/>
          <w:color w:val="000000" w:themeColor="text1"/>
          <w:lang w:eastAsia="en-GB"/>
        </w:rPr>
        <w:t>1.5</w:t>
      </w:r>
      <w:r w:rsidRPr="00930A65">
        <w:rPr>
          <w:rFonts w:ascii="TT1915Do00" w:eastAsia="Cambria" w:hAnsi="TT1915Do00" w:cs="TT1915Do00"/>
          <w:color w:val="000000" w:themeColor="text1"/>
          <w:lang w:eastAsia="en-GB"/>
        </w:rPr>
        <w:t>% p.a. over the inflation assumption as</w:t>
      </w:r>
      <w:r w:rsidR="00640C0A"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described above. This includes allowance for promotional increases.</w:t>
      </w:r>
    </w:p>
    <w:p w:rsidR="00371BC0" w:rsidRDefault="00371BC0" w:rsidP="00612C1F">
      <w:pPr>
        <w:spacing w:after="0"/>
        <w:jc w:val="left"/>
        <w:rPr>
          <w:rFonts w:ascii="TT1915Do00" w:eastAsia="Cambria" w:hAnsi="TT1915Do00" w:cs="TT1915Do00"/>
          <w:color w:val="000000" w:themeColor="text1"/>
          <w:lang w:eastAsia="en-GB"/>
        </w:rPr>
      </w:pPr>
    </w:p>
    <w:p w:rsidR="00371BC0" w:rsidRPr="00371BC0" w:rsidRDefault="00371BC0" w:rsidP="00371BC0">
      <w:pPr>
        <w:spacing w:after="0"/>
        <w:jc w:val="left"/>
        <w:rPr>
          <w:rFonts w:ascii="TT1915Do00" w:eastAsia="Cambria" w:hAnsi="TT1915Do00" w:cs="TT1915Do00"/>
          <w:color w:val="000000" w:themeColor="text1"/>
          <w:lang w:eastAsia="en-GB"/>
        </w:rPr>
      </w:pPr>
      <w:r>
        <w:rPr>
          <w:rFonts w:cs="Arial"/>
        </w:rPr>
        <w:t>In addition to the long term salary increase assumption allowance</w:t>
      </w:r>
      <w:r w:rsidRPr="008A59EF">
        <w:rPr>
          <w:rFonts w:cs="Arial"/>
        </w:rPr>
        <w:t xml:space="preserve"> </w:t>
      </w:r>
      <w:r>
        <w:rPr>
          <w:rFonts w:cs="Arial"/>
        </w:rPr>
        <w:t xml:space="preserve">has been made for expected short term pay restraint for all employers in the fund.  This results in a total </w:t>
      </w:r>
      <w:r w:rsidRPr="00371BC0">
        <w:rPr>
          <w:rFonts w:ascii="TT1915Do00" w:eastAsia="Cambria" w:hAnsi="TT1915Do00" w:cs="TT1915Do00"/>
          <w:color w:val="000000" w:themeColor="text1"/>
          <w:lang w:eastAsia="en-GB"/>
        </w:rPr>
        <w:t>salary increase of 1% per annum for 3 years.</w:t>
      </w:r>
    </w:p>
    <w:p w:rsidR="00371BC0" w:rsidRPr="00930A65" w:rsidRDefault="00371BC0" w:rsidP="00612C1F">
      <w:pPr>
        <w:spacing w:after="0"/>
        <w:jc w:val="left"/>
        <w:rPr>
          <w:rFonts w:ascii="TT1915Do00" w:eastAsia="Cambria" w:hAnsi="TT1915Do00" w:cs="TT1915Do00"/>
          <w:color w:val="000000" w:themeColor="text1"/>
          <w:lang w:eastAsia="en-GB"/>
        </w:rPr>
      </w:pPr>
    </w:p>
    <w:p w:rsidR="00371BC0" w:rsidRPr="00371BC0" w:rsidRDefault="00612C1F" w:rsidP="00612C1F">
      <w:pPr>
        <w:spacing w:after="0"/>
        <w:jc w:val="left"/>
        <w:rPr>
          <w:rFonts w:ascii="TT1915Do00" w:eastAsia="Cambria" w:hAnsi="TT1915Do00" w:cs="TT1915Do00"/>
          <w:b/>
          <w:i/>
          <w:color w:val="000000" w:themeColor="text1"/>
          <w:lang w:eastAsia="en-GB"/>
        </w:rPr>
      </w:pPr>
      <w:r w:rsidRPr="00371BC0">
        <w:rPr>
          <w:rFonts w:ascii="TT1915Do00" w:eastAsia="Cambria" w:hAnsi="TT1915Do00" w:cs="TT1915Do00"/>
          <w:b/>
          <w:i/>
          <w:color w:val="000000" w:themeColor="text1"/>
          <w:lang w:eastAsia="en-GB"/>
        </w:rPr>
        <w:t>Pension increases</w:t>
      </w:r>
    </w:p>
    <w:p w:rsidR="00612C1F" w:rsidRPr="00930A65" w:rsidRDefault="00612C1F" w:rsidP="00612C1F">
      <w:pPr>
        <w:spacing w:after="0"/>
        <w:jc w:val="left"/>
        <w:rPr>
          <w:rFonts w:ascii="TT1915Do00" w:eastAsia="Cambria" w:hAnsi="TT1915Do00" w:cs="TT1915Do00"/>
          <w:color w:val="000000" w:themeColor="text1"/>
          <w:lang w:eastAsia="en-GB"/>
        </w:rPr>
      </w:pPr>
      <w:r w:rsidRPr="00930A65">
        <w:rPr>
          <w:rFonts w:ascii="TT1915Do00" w:eastAsia="Cambria" w:hAnsi="TT1915Do00" w:cs="TT1915Do00"/>
          <w:color w:val="000000" w:themeColor="text1"/>
          <w:lang w:eastAsia="en-GB"/>
        </w:rPr>
        <w:t>Increases to pensions are assumed to be in line with the inflation (CPI) assumption</w:t>
      </w:r>
      <w:r w:rsidR="00640C0A"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described above. This is modified appropriately to reflect any benefits which are not fully</w:t>
      </w:r>
      <w:r w:rsidR="00640C0A"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indexed in line with the CPI (e.g. Guaranteed Minimum Pensions in respect of service</w:t>
      </w:r>
      <w:r w:rsidR="00640C0A"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prior to April 1997).</w:t>
      </w:r>
    </w:p>
    <w:p w:rsidR="00640C0A" w:rsidRPr="00930A65" w:rsidRDefault="00640C0A" w:rsidP="00612C1F">
      <w:pPr>
        <w:spacing w:after="0"/>
        <w:jc w:val="left"/>
        <w:rPr>
          <w:rFonts w:ascii="TT1915Do00" w:eastAsia="Cambria" w:hAnsi="TT1915Do00" w:cs="TT1915Do00"/>
          <w:color w:val="000000" w:themeColor="text1"/>
          <w:lang w:eastAsia="en-GB"/>
        </w:rPr>
      </w:pPr>
    </w:p>
    <w:p w:rsidR="00612C1F" w:rsidRPr="00930A65" w:rsidRDefault="00612C1F" w:rsidP="00612C1F">
      <w:pPr>
        <w:spacing w:after="0"/>
        <w:jc w:val="left"/>
        <w:rPr>
          <w:rFonts w:ascii="TT1915Do00" w:eastAsia="Cambria" w:hAnsi="TT1915Do00" w:cs="TT1915Do00"/>
          <w:b/>
          <w:i/>
          <w:color w:val="000000" w:themeColor="text1"/>
          <w:lang w:eastAsia="en-GB"/>
        </w:rPr>
      </w:pPr>
      <w:r w:rsidRPr="00930A65">
        <w:rPr>
          <w:rFonts w:ascii="TT1915Do00" w:eastAsia="Cambria" w:hAnsi="TT1915Do00" w:cs="TT1915Do00"/>
          <w:b/>
          <w:i/>
          <w:color w:val="000000" w:themeColor="text1"/>
          <w:lang w:eastAsia="en-GB"/>
        </w:rPr>
        <w:t>Mortality</w:t>
      </w:r>
    </w:p>
    <w:p w:rsidR="00612C1F" w:rsidRPr="00930A65" w:rsidRDefault="00612C1F" w:rsidP="00612C1F">
      <w:pPr>
        <w:spacing w:after="0"/>
        <w:jc w:val="left"/>
        <w:rPr>
          <w:rFonts w:ascii="TT1915Do00" w:eastAsia="Cambria" w:hAnsi="TT1915Do00" w:cs="TT1915Do00"/>
          <w:color w:val="000000" w:themeColor="text1"/>
          <w:lang w:eastAsia="en-GB"/>
        </w:rPr>
      </w:pPr>
      <w:r w:rsidRPr="00930A65">
        <w:rPr>
          <w:rFonts w:ascii="TT1915Do00" w:eastAsia="Cambria" w:hAnsi="TT1915Do00" w:cs="TT1915Do00"/>
          <w:color w:val="000000" w:themeColor="text1"/>
          <w:lang w:eastAsia="en-GB"/>
        </w:rPr>
        <w:t xml:space="preserve">The mortality assumptions will be based </w:t>
      </w:r>
      <w:r w:rsidR="001F679F">
        <w:rPr>
          <w:rFonts w:ascii="TT1915Do00" w:eastAsia="Cambria" w:hAnsi="TT1915Do00" w:cs="TT1915Do00"/>
          <w:color w:val="000000" w:themeColor="text1"/>
          <w:lang w:eastAsia="en-GB"/>
        </w:rPr>
        <w:t xml:space="preserve">on </w:t>
      </w:r>
      <w:r w:rsidRPr="00930A65">
        <w:rPr>
          <w:rFonts w:ascii="TT1915Do00" w:eastAsia="Cambria" w:hAnsi="TT1915Do00" w:cs="TT1915Do00"/>
          <w:color w:val="000000" w:themeColor="text1"/>
          <w:lang w:eastAsia="en-GB"/>
        </w:rPr>
        <w:t>up-to-date information published</w:t>
      </w:r>
      <w:r w:rsidR="00640C0A"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by the Continuous Mortality Investigation (CMI), making allowance for future</w:t>
      </w:r>
      <w:r w:rsidR="00640C0A"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 xml:space="preserve">improvements in longevity and the experience of the scheme. </w:t>
      </w:r>
      <w:r w:rsidR="00371BC0" w:rsidRPr="00371BC0">
        <w:rPr>
          <w:rFonts w:ascii="TT1915Do00" w:eastAsia="Cambria" w:hAnsi="TT1915Do00" w:cs="TT1915Do00"/>
          <w:color w:val="000000" w:themeColor="text1"/>
          <w:lang w:eastAsia="en-GB"/>
        </w:rPr>
        <w:t>The mortality tables used are set out below, with a loading reflecting Fund specific experience</w:t>
      </w:r>
      <w:r w:rsidR="00371BC0" w:rsidRPr="00930A65">
        <w:rPr>
          <w:rFonts w:ascii="TT1915Do00" w:eastAsia="Cambria" w:hAnsi="TT1915Do00" w:cs="TT1915Do00"/>
          <w:color w:val="000000" w:themeColor="text1"/>
          <w:lang w:eastAsia="en-GB"/>
        </w:rPr>
        <w:t xml:space="preserve"> </w:t>
      </w:r>
      <w:r w:rsidR="00371BC0">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The derivation of the</w:t>
      </w:r>
      <w:r w:rsidR="00640C0A"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 xml:space="preserve">mortality assumption is </w:t>
      </w:r>
      <w:r w:rsidR="00371BC0" w:rsidRPr="00371BC0">
        <w:rPr>
          <w:rFonts w:ascii="TT1915Do00" w:eastAsia="Cambria" w:hAnsi="TT1915Do00" w:cs="TT1915Do00"/>
          <w:color w:val="000000" w:themeColor="text1"/>
          <w:lang w:eastAsia="en-GB"/>
        </w:rPr>
        <w:t>set out in a separate paper as supplied by the Actuary</w:t>
      </w:r>
      <w:r w:rsidRPr="00930A65">
        <w:rPr>
          <w:rFonts w:ascii="TT1915Do00" w:eastAsia="Cambria" w:hAnsi="TT1915Do00" w:cs="TT1915Do00"/>
          <w:color w:val="000000" w:themeColor="text1"/>
          <w:lang w:eastAsia="en-GB"/>
        </w:rPr>
        <w:t xml:space="preserve">. </w:t>
      </w:r>
      <w:r w:rsidR="00371BC0">
        <w:rPr>
          <w:rFonts w:ascii="TT1915Do00" w:eastAsia="Cambria" w:hAnsi="TT1915Do00" w:cs="TT1915Do00"/>
          <w:color w:val="000000" w:themeColor="text1"/>
          <w:lang w:eastAsia="en-GB"/>
        </w:rPr>
        <w:t>Current m</w:t>
      </w:r>
      <w:r w:rsidRPr="00930A65">
        <w:rPr>
          <w:rFonts w:ascii="TT1915Do00" w:eastAsia="Cambria" w:hAnsi="TT1915Do00" w:cs="TT1915Do00"/>
          <w:color w:val="000000" w:themeColor="text1"/>
          <w:lang w:eastAsia="en-GB"/>
        </w:rPr>
        <w:t>embers who retire on the</w:t>
      </w:r>
      <w:r w:rsidR="00640C0A"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grounds of ill heath are assumed to exhibit average mortality equivalent to that for a</w:t>
      </w:r>
      <w:r w:rsidR="00640C0A"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 xml:space="preserve">good health retiree at an age </w:t>
      </w:r>
      <w:r w:rsidR="00371BC0">
        <w:rPr>
          <w:rFonts w:ascii="TT1915Do00" w:eastAsia="Cambria" w:hAnsi="TT1915Do00" w:cs="TT1915Do00"/>
          <w:color w:val="000000" w:themeColor="text1"/>
          <w:lang w:eastAsia="en-GB"/>
        </w:rPr>
        <w:t>4</w:t>
      </w:r>
      <w:r w:rsidR="00371BC0"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years older</w:t>
      </w:r>
      <w:r w:rsidR="00371BC0">
        <w:rPr>
          <w:rFonts w:ascii="TT1915Do00" w:eastAsia="Cambria" w:hAnsi="TT1915Do00" w:cs="TT1915Do00"/>
          <w:color w:val="000000" w:themeColor="text1"/>
          <w:lang w:eastAsia="en-GB"/>
        </w:rPr>
        <w:t xml:space="preserve"> w</w:t>
      </w:r>
      <w:r w:rsidR="00371BC0" w:rsidRPr="00371BC0">
        <w:rPr>
          <w:rFonts w:ascii="TT1915Do00" w:eastAsia="Cambria" w:hAnsi="TT1915Do00" w:cs="TT1915Do00"/>
          <w:color w:val="000000" w:themeColor="text1"/>
          <w:lang w:eastAsia="en-GB"/>
        </w:rPr>
        <w:t>hereas for existing ill health retirees we assume this is at an age 3 years older</w:t>
      </w:r>
      <w:r w:rsidRPr="00930A65">
        <w:rPr>
          <w:rFonts w:ascii="TT1915Do00" w:eastAsia="Cambria" w:hAnsi="TT1915Do00" w:cs="TT1915Do00"/>
          <w:color w:val="000000" w:themeColor="text1"/>
          <w:lang w:eastAsia="en-GB"/>
        </w:rPr>
        <w:t>. For all members, it is assumed that the</w:t>
      </w:r>
      <w:r w:rsidR="00640C0A"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accelerated trend in longevity seen in recent years will continue in the longer term and</w:t>
      </w:r>
      <w:r w:rsidR="00640C0A"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as such, the assumptions build in a minimum level of longevity ‘improvement’ year on</w:t>
      </w:r>
      <w:r w:rsidR="00640C0A"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year in the future in line with the CMI projections subject to a minimum rate of</w:t>
      </w:r>
      <w:r w:rsidR="00640C0A"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improvement of 1</w:t>
      </w:r>
      <w:r w:rsidR="00371BC0">
        <w:rPr>
          <w:rFonts w:ascii="TT1915Do00" w:eastAsia="Cambria" w:hAnsi="TT1915Do00" w:cs="TT1915Do00"/>
          <w:color w:val="000000" w:themeColor="text1"/>
          <w:lang w:eastAsia="en-GB"/>
        </w:rPr>
        <w:t>.5</w:t>
      </w:r>
      <w:r w:rsidRPr="00930A65">
        <w:rPr>
          <w:rFonts w:ascii="TT1915Do00" w:eastAsia="Cambria" w:hAnsi="TT1915Do00" w:cs="TT1915Do00"/>
          <w:color w:val="000000" w:themeColor="text1"/>
          <w:lang w:eastAsia="en-GB"/>
        </w:rPr>
        <w:t>% per annum.</w:t>
      </w:r>
    </w:p>
    <w:p w:rsidR="00371BC0" w:rsidRPr="00371BC0" w:rsidRDefault="00371BC0" w:rsidP="00371BC0">
      <w:pPr>
        <w:spacing w:after="0"/>
        <w:jc w:val="left"/>
        <w:rPr>
          <w:rFonts w:ascii="TT1915Do00" w:eastAsia="Cambria" w:hAnsi="TT1915Do00" w:cs="TT1915Do00"/>
          <w:color w:val="000000" w:themeColor="text1"/>
          <w:lang w:eastAsia="en-GB"/>
        </w:rPr>
      </w:pPr>
    </w:p>
    <w:p w:rsidR="00371BC0" w:rsidRDefault="00371BC0" w:rsidP="00371BC0">
      <w:pPr>
        <w:spacing w:after="0"/>
        <w:jc w:val="left"/>
        <w:rPr>
          <w:rFonts w:ascii="TT1915Do00" w:eastAsia="Cambria" w:hAnsi="TT1915Do00" w:cs="TT1915Do00"/>
          <w:color w:val="000000" w:themeColor="text1"/>
          <w:lang w:eastAsia="en-GB"/>
        </w:rPr>
      </w:pPr>
      <w:r w:rsidRPr="00371BC0">
        <w:rPr>
          <w:rFonts w:ascii="TT1915Do00" w:eastAsia="Cambria" w:hAnsi="TT1915Do00" w:cs="TT1915Do00"/>
          <w:color w:val="000000" w:themeColor="text1"/>
          <w:lang w:eastAsia="en-GB"/>
        </w:rPr>
        <w:t>The mortality before retirement has also been adjusted based on LGPS wide experience.</w:t>
      </w:r>
    </w:p>
    <w:p w:rsidR="00371BC0" w:rsidRDefault="00371BC0" w:rsidP="00371BC0">
      <w:pPr>
        <w:spacing w:after="0"/>
        <w:jc w:val="left"/>
        <w:rPr>
          <w:rFonts w:ascii="TT1915Do00" w:eastAsia="Cambria" w:hAnsi="TT1915Do00" w:cs="TT1915Do00"/>
          <w:color w:val="000000" w:themeColor="text1"/>
          <w:lang w:eastAsia="en-GB"/>
        </w:rPr>
      </w:pPr>
    </w:p>
    <w:p w:rsidR="00371BC0" w:rsidRPr="00371BC0" w:rsidRDefault="00371BC0" w:rsidP="00371BC0">
      <w:pPr>
        <w:spacing w:after="0"/>
        <w:jc w:val="left"/>
        <w:rPr>
          <w:rFonts w:ascii="TT1915Do00" w:eastAsia="Cambria" w:hAnsi="TT1915Do00" w:cs="TT1915Do00"/>
          <w:b/>
          <w:i/>
          <w:color w:val="000000" w:themeColor="text1"/>
          <w:lang w:eastAsia="en-GB"/>
        </w:rPr>
      </w:pPr>
      <w:r w:rsidRPr="00371BC0">
        <w:rPr>
          <w:rFonts w:ascii="TT1915Do00" w:eastAsia="Cambria" w:hAnsi="TT1915Do00" w:cs="TT1915Do00"/>
          <w:b/>
          <w:i/>
          <w:color w:val="000000" w:themeColor="text1"/>
          <w:lang w:eastAsia="en-GB"/>
        </w:rPr>
        <w:t>Commutation</w:t>
      </w:r>
    </w:p>
    <w:p w:rsidR="00371BC0" w:rsidRDefault="00371BC0" w:rsidP="00371BC0">
      <w:pPr>
        <w:spacing w:after="0"/>
        <w:jc w:val="left"/>
        <w:rPr>
          <w:rFonts w:ascii="TT1915Do00" w:eastAsia="Cambria" w:hAnsi="TT1915Do00" w:cs="TT1915Do00"/>
          <w:color w:val="000000" w:themeColor="text1"/>
          <w:lang w:eastAsia="en-GB"/>
        </w:rPr>
      </w:pPr>
      <w:r w:rsidRPr="00371BC0">
        <w:rPr>
          <w:rFonts w:ascii="TT1915Do00" w:eastAsia="Cambria" w:hAnsi="TT1915Do00" w:cs="TT1915Do00"/>
          <w:color w:val="000000" w:themeColor="text1"/>
          <w:lang w:eastAsia="en-GB"/>
        </w:rPr>
        <w:t xml:space="preserve">It has been assumed that, on average, 50% of retiring members will take the maximum tax-free cash available at retirement and 50% will take the standard 3/80ths cash sum. The option which members have to commute part of their pension at retirement in return for a lump sum is a rate of £12 cash for each £1 p.a. of pension given up. </w:t>
      </w:r>
    </w:p>
    <w:p w:rsidR="00371BC0" w:rsidRPr="00371BC0" w:rsidRDefault="00371BC0" w:rsidP="00371BC0">
      <w:pPr>
        <w:spacing w:after="0"/>
        <w:jc w:val="left"/>
        <w:rPr>
          <w:rFonts w:ascii="TT1915Do00" w:eastAsia="Cambria" w:hAnsi="TT1915Do00" w:cs="TT1915Do00"/>
          <w:color w:val="000000" w:themeColor="text1"/>
          <w:lang w:eastAsia="en-GB"/>
        </w:rPr>
      </w:pPr>
    </w:p>
    <w:p w:rsidR="00371BC0" w:rsidRPr="00371BC0" w:rsidRDefault="00371BC0" w:rsidP="00371BC0">
      <w:pPr>
        <w:spacing w:after="0"/>
        <w:jc w:val="left"/>
        <w:rPr>
          <w:rFonts w:ascii="TT1915Do00" w:eastAsia="Cambria" w:hAnsi="TT1915Do00" w:cs="TT1915Do00"/>
          <w:b/>
          <w:i/>
          <w:color w:val="000000" w:themeColor="text1"/>
          <w:lang w:eastAsia="en-GB"/>
        </w:rPr>
      </w:pPr>
      <w:r w:rsidRPr="00371BC0">
        <w:rPr>
          <w:rFonts w:ascii="TT1915Do00" w:eastAsia="Cambria" w:hAnsi="TT1915Do00" w:cs="TT1915Do00"/>
          <w:b/>
          <w:i/>
          <w:color w:val="000000" w:themeColor="text1"/>
          <w:lang w:eastAsia="en-GB"/>
        </w:rPr>
        <w:t>Other Demographics</w:t>
      </w:r>
    </w:p>
    <w:p w:rsidR="00371BC0" w:rsidRDefault="00371BC0" w:rsidP="00371BC0">
      <w:pPr>
        <w:spacing w:after="0"/>
        <w:jc w:val="left"/>
        <w:rPr>
          <w:rFonts w:ascii="TT1915Do00" w:eastAsia="Cambria" w:hAnsi="TT1915Do00" w:cs="TT1915Do00"/>
          <w:color w:val="000000" w:themeColor="text1"/>
          <w:lang w:eastAsia="en-GB"/>
        </w:rPr>
      </w:pPr>
      <w:r w:rsidRPr="00371BC0">
        <w:rPr>
          <w:rFonts w:ascii="TT1915Do00" w:eastAsia="Cambria" w:hAnsi="TT1915Do00" w:cs="TT1915Do00"/>
          <w:color w:val="000000" w:themeColor="text1"/>
          <w:lang w:eastAsia="en-GB"/>
        </w:rPr>
        <w:t>Following an analysis of Fund experience carried out by the Actuary, the incidence of retirement in normal health and in ill health and the proportions married/civil partnership assumption have been modified from the last  valuation.  Other assumptions are as per the last valuation.</w:t>
      </w:r>
    </w:p>
    <w:p w:rsidR="00371BC0" w:rsidRPr="00371BC0" w:rsidRDefault="00371BC0" w:rsidP="00371BC0">
      <w:pPr>
        <w:spacing w:after="0"/>
        <w:jc w:val="left"/>
        <w:rPr>
          <w:rFonts w:ascii="TT1915Do00" w:eastAsia="Cambria" w:hAnsi="TT1915Do00" w:cs="TT1915Do00"/>
          <w:color w:val="000000" w:themeColor="text1"/>
          <w:lang w:eastAsia="en-GB"/>
        </w:rPr>
      </w:pPr>
    </w:p>
    <w:p w:rsidR="00371BC0" w:rsidRPr="00371BC0" w:rsidRDefault="00371BC0" w:rsidP="00371BC0">
      <w:pPr>
        <w:spacing w:after="0"/>
        <w:jc w:val="left"/>
        <w:rPr>
          <w:rFonts w:ascii="TT1915Do00" w:eastAsia="Cambria" w:hAnsi="TT1915Do00" w:cs="TT1915Do00"/>
          <w:b/>
          <w:i/>
          <w:color w:val="000000" w:themeColor="text1"/>
          <w:lang w:eastAsia="en-GB"/>
        </w:rPr>
      </w:pPr>
      <w:r w:rsidRPr="00371BC0">
        <w:rPr>
          <w:rFonts w:ascii="TT1915Do00" w:eastAsia="Cambria" w:hAnsi="TT1915Do00" w:cs="TT1915Do00"/>
          <w:b/>
          <w:i/>
          <w:color w:val="000000" w:themeColor="text1"/>
          <w:lang w:eastAsia="en-GB"/>
        </w:rPr>
        <w:t>Expenses</w:t>
      </w:r>
    </w:p>
    <w:p w:rsidR="00371BC0" w:rsidRDefault="00371BC0" w:rsidP="00371BC0">
      <w:pPr>
        <w:spacing w:after="0"/>
        <w:jc w:val="left"/>
        <w:rPr>
          <w:rFonts w:ascii="TT1915Do00" w:eastAsia="Cambria" w:hAnsi="TT1915Do00" w:cs="TT1915Do00"/>
          <w:color w:val="000000" w:themeColor="text1"/>
          <w:lang w:eastAsia="en-GB"/>
        </w:rPr>
      </w:pPr>
      <w:r w:rsidRPr="00371BC0">
        <w:rPr>
          <w:rFonts w:ascii="TT1915Do00" w:eastAsia="Cambria" w:hAnsi="TT1915Do00" w:cs="TT1915Do00"/>
          <w:color w:val="000000" w:themeColor="text1"/>
          <w:lang w:eastAsia="en-GB"/>
        </w:rPr>
        <w:t>Expenses are met out the Fund, in accordance with the Regulations. This is allowed for by adding 0.4% of pensionable pay to the contributions as required from participating employers. This addition is reassessed at each valuation. Investment expenses have been allowed for implicitly in determining the discount rates.</w:t>
      </w:r>
    </w:p>
    <w:p w:rsidR="00371BC0" w:rsidRPr="00371BC0" w:rsidRDefault="00371BC0" w:rsidP="00371BC0">
      <w:pPr>
        <w:spacing w:after="0"/>
        <w:jc w:val="left"/>
        <w:rPr>
          <w:rFonts w:ascii="TT1915Do00" w:eastAsia="Cambria" w:hAnsi="TT1915Do00" w:cs="TT1915Do00"/>
          <w:color w:val="000000" w:themeColor="text1"/>
          <w:lang w:eastAsia="en-GB"/>
        </w:rPr>
      </w:pPr>
    </w:p>
    <w:p w:rsidR="00371BC0" w:rsidRPr="00371BC0" w:rsidRDefault="00371BC0" w:rsidP="00371BC0">
      <w:pPr>
        <w:spacing w:after="0"/>
        <w:jc w:val="left"/>
        <w:rPr>
          <w:rFonts w:ascii="TT1915Do00" w:eastAsia="Cambria" w:hAnsi="TT1915Do00" w:cs="TT1915Do00"/>
          <w:b/>
          <w:i/>
          <w:color w:val="000000" w:themeColor="text1"/>
          <w:lang w:eastAsia="en-GB"/>
        </w:rPr>
      </w:pPr>
      <w:r w:rsidRPr="00371BC0">
        <w:rPr>
          <w:rFonts w:ascii="TT1915Do00" w:eastAsia="Cambria" w:hAnsi="TT1915Do00" w:cs="TT1915Do00"/>
          <w:b/>
          <w:i/>
          <w:color w:val="000000" w:themeColor="text1"/>
          <w:lang w:eastAsia="en-GB"/>
        </w:rPr>
        <w:t>Discretionary Benefits</w:t>
      </w:r>
    </w:p>
    <w:p w:rsidR="00371BC0" w:rsidRPr="00371BC0" w:rsidRDefault="00371BC0" w:rsidP="00371BC0">
      <w:pPr>
        <w:spacing w:after="0"/>
        <w:jc w:val="left"/>
        <w:rPr>
          <w:rFonts w:ascii="TT1915Do00" w:eastAsia="Cambria" w:hAnsi="TT1915Do00" w:cs="TT1915Do00"/>
          <w:color w:val="000000" w:themeColor="text1"/>
          <w:lang w:eastAsia="en-GB"/>
        </w:rPr>
      </w:pPr>
      <w:r w:rsidRPr="00371BC0">
        <w:rPr>
          <w:rFonts w:ascii="TT1915Do00" w:eastAsia="Cambria" w:hAnsi="TT1915Do00" w:cs="TT1915Do00"/>
          <w:color w:val="000000" w:themeColor="text1"/>
          <w:lang w:eastAsia="en-GB"/>
        </w:rPr>
        <w:t xml:space="preserve">The costs of any discretion exercised by an employer in order to enhance benefits for a member through the Fund will be subject to additional contributions from the </w:t>
      </w:r>
      <w:r w:rsidRPr="00371BC0">
        <w:rPr>
          <w:rFonts w:ascii="TT1915Do00" w:eastAsia="Cambria" w:hAnsi="TT1915Do00" w:cs="TT1915Do00"/>
          <w:color w:val="000000" w:themeColor="text1"/>
          <w:lang w:eastAsia="en-GB"/>
        </w:rPr>
        <w:lastRenderedPageBreak/>
        <w:t xml:space="preserve">employer as required by the Regulations as and when the event occurs.  As a result, no allowance for such discretionary benefits has been made in the valuation </w:t>
      </w:r>
    </w:p>
    <w:p w:rsidR="00371BC0" w:rsidRPr="00930A65" w:rsidRDefault="00371BC0" w:rsidP="00612C1F">
      <w:pPr>
        <w:spacing w:after="0"/>
        <w:jc w:val="left"/>
        <w:rPr>
          <w:rFonts w:ascii="TT1915Ao00" w:eastAsia="Cambria" w:hAnsi="TT1915Ao00" w:cs="TT1915Ao00"/>
          <w:color w:val="000000" w:themeColor="text1"/>
          <w:lang w:eastAsia="en-GB"/>
        </w:rPr>
      </w:pPr>
    </w:p>
    <w:p w:rsidR="00612C1F" w:rsidRDefault="00612C1F" w:rsidP="00612C1F">
      <w:pPr>
        <w:spacing w:after="0"/>
        <w:jc w:val="left"/>
        <w:rPr>
          <w:rFonts w:ascii="TT1915Ao00" w:eastAsia="Cambria" w:hAnsi="TT1915Ao00" w:cs="TT1915Ao00"/>
          <w:b/>
          <w:color w:val="000000" w:themeColor="text1"/>
          <w:lang w:eastAsia="en-GB"/>
        </w:rPr>
      </w:pPr>
      <w:r w:rsidRPr="00371BC0">
        <w:rPr>
          <w:rFonts w:ascii="TT1915Ao00" w:eastAsia="Cambria" w:hAnsi="TT1915Ao00" w:cs="TT1915Ao00"/>
          <w:b/>
          <w:color w:val="000000" w:themeColor="text1"/>
          <w:lang w:eastAsia="en-GB"/>
        </w:rPr>
        <w:t>Method and assumptions used in calculating the cost of future accrual</w:t>
      </w:r>
    </w:p>
    <w:p w:rsidR="00371BC0" w:rsidRPr="00371BC0" w:rsidRDefault="00371BC0" w:rsidP="00612C1F">
      <w:pPr>
        <w:spacing w:after="0"/>
        <w:jc w:val="left"/>
        <w:rPr>
          <w:rFonts w:ascii="TT1915Ao00" w:eastAsia="Cambria" w:hAnsi="TT1915Ao00" w:cs="TT1915Ao00"/>
          <w:b/>
          <w:color w:val="000000" w:themeColor="text1"/>
          <w:lang w:eastAsia="en-GB"/>
        </w:rPr>
      </w:pPr>
    </w:p>
    <w:p w:rsidR="00612C1F" w:rsidRPr="00930A65" w:rsidRDefault="00612C1F" w:rsidP="00612C1F">
      <w:pPr>
        <w:spacing w:after="0"/>
        <w:jc w:val="left"/>
        <w:rPr>
          <w:rFonts w:ascii="TT1915Do00" w:eastAsia="Cambria" w:hAnsi="TT1915Do00" w:cs="TT1915Do00"/>
          <w:color w:val="000000" w:themeColor="text1"/>
          <w:lang w:eastAsia="en-GB"/>
        </w:rPr>
      </w:pPr>
      <w:r w:rsidRPr="00930A65">
        <w:rPr>
          <w:rFonts w:ascii="TT1915Do00" w:eastAsia="Cambria" w:hAnsi="TT1915Do00" w:cs="TT1915Do00"/>
          <w:color w:val="000000" w:themeColor="text1"/>
          <w:lang w:eastAsia="en-GB"/>
        </w:rPr>
        <w:t>The cost of future accrual (normal cost) will be calculated using the same actuarial</w:t>
      </w:r>
      <w:r w:rsidR="00E4638B"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method and assumptions as used to calculate the funding target except that the</w:t>
      </w:r>
      <w:r w:rsidR="00E4638B"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financial assumptions adopted will be as described below.</w:t>
      </w:r>
    </w:p>
    <w:p w:rsidR="00E4638B" w:rsidRPr="00930A65" w:rsidRDefault="00E4638B" w:rsidP="00612C1F">
      <w:pPr>
        <w:spacing w:after="0"/>
        <w:jc w:val="left"/>
        <w:rPr>
          <w:rFonts w:ascii="TT1915Do00" w:eastAsia="Cambria" w:hAnsi="TT1915Do00" w:cs="TT1915Do00"/>
          <w:color w:val="000000" w:themeColor="text1"/>
          <w:lang w:eastAsia="en-GB"/>
        </w:rPr>
      </w:pPr>
    </w:p>
    <w:p w:rsidR="00612C1F" w:rsidRDefault="00612C1F" w:rsidP="00612C1F">
      <w:pPr>
        <w:spacing w:after="0"/>
        <w:jc w:val="left"/>
        <w:rPr>
          <w:rFonts w:ascii="TT1915Do00" w:eastAsia="Cambria" w:hAnsi="TT1915Do00" w:cs="TT1915Do00"/>
          <w:color w:val="000000" w:themeColor="text1"/>
          <w:lang w:eastAsia="en-GB"/>
        </w:rPr>
      </w:pPr>
      <w:r w:rsidRPr="00930A65">
        <w:rPr>
          <w:rFonts w:ascii="TT1915Do00" w:eastAsia="Cambria" w:hAnsi="TT1915Do00" w:cs="TT1915Do00"/>
          <w:color w:val="000000" w:themeColor="text1"/>
          <w:lang w:eastAsia="en-GB"/>
        </w:rPr>
        <w:t>The financial assumptions for assessing the future service contribution rate should take</w:t>
      </w:r>
      <w:r w:rsidR="00E4638B"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account of the following points:</w:t>
      </w:r>
    </w:p>
    <w:p w:rsidR="00371BC0" w:rsidRPr="00930A65" w:rsidRDefault="00371BC0" w:rsidP="00612C1F">
      <w:pPr>
        <w:spacing w:after="0"/>
        <w:jc w:val="left"/>
        <w:rPr>
          <w:rFonts w:ascii="TT1915Do00" w:eastAsia="Cambria" w:hAnsi="TT1915Do00" w:cs="TT1915Do00"/>
          <w:color w:val="000000" w:themeColor="text1"/>
          <w:lang w:eastAsia="en-GB"/>
        </w:rPr>
      </w:pPr>
    </w:p>
    <w:p w:rsidR="00612C1F" w:rsidRDefault="00612C1F" w:rsidP="003A52EF">
      <w:pPr>
        <w:spacing w:after="0"/>
        <w:ind w:left="720"/>
        <w:jc w:val="left"/>
        <w:rPr>
          <w:rFonts w:ascii="TT1915Do00" w:eastAsia="Cambria" w:hAnsi="TT1915Do00" w:cs="TT1915Do00"/>
          <w:color w:val="000000" w:themeColor="text1"/>
          <w:lang w:eastAsia="en-GB"/>
        </w:rPr>
      </w:pPr>
      <w:r w:rsidRPr="00930A65">
        <w:rPr>
          <w:rFonts w:ascii="TT1915Eo00" w:eastAsia="Cambria" w:hAnsi="TT1915Eo00" w:cs="TT1915Eo00"/>
          <w:color w:val="000000" w:themeColor="text1"/>
          <w:lang w:eastAsia="en-GB"/>
        </w:rPr>
        <w:t xml:space="preserve">• </w:t>
      </w:r>
      <w:r w:rsidRPr="00930A65">
        <w:rPr>
          <w:rFonts w:ascii="TT1915Do00" w:eastAsia="Cambria" w:hAnsi="TT1915Do00" w:cs="TT1915Do00"/>
          <w:color w:val="000000" w:themeColor="text1"/>
          <w:lang w:eastAsia="en-GB"/>
        </w:rPr>
        <w:t>contributions will be invested in market conditions applying at future dates, which</w:t>
      </w:r>
      <w:r w:rsidR="00E4638B"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are unknown at the effective date of the valuation, and which are not directly</w:t>
      </w:r>
      <w:r w:rsidR="00E4638B"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linked to market conditions at the valuation date; and</w:t>
      </w:r>
    </w:p>
    <w:p w:rsidR="00371BC0" w:rsidRPr="00930A65" w:rsidRDefault="00371BC0" w:rsidP="00612C1F">
      <w:pPr>
        <w:spacing w:after="0"/>
        <w:jc w:val="left"/>
        <w:rPr>
          <w:rFonts w:ascii="TT1915Do00" w:eastAsia="Cambria" w:hAnsi="TT1915Do00" w:cs="TT1915Do00"/>
          <w:color w:val="000000" w:themeColor="text1"/>
          <w:lang w:eastAsia="en-GB"/>
        </w:rPr>
      </w:pPr>
    </w:p>
    <w:p w:rsidR="00612C1F" w:rsidRDefault="00612C1F" w:rsidP="003A52EF">
      <w:pPr>
        <w:spacing w:after="0"/>
        <w:ind w:left="720"/>
        <w:jc w:val="left"/>
        <w:rPr>
          <w:rFonts w:ascii="TT1915Do00" w:eastAsia="Cambria" w:hAnsi="TT1915Do00" w:cs="TT1915Do00"/>
          <w:color w:val="000000" w:themeColor="text1"/>
          <w:lang w:eastAsia="en-GB"/>
        </w:rPr>
      </w:pPr>
      <w:r w:rsidRPr="00930A65">
        <w:rPr>
          <w:rFonts w:ascii="TT1915Eo00" w:eastAsia="Cambria" w:hAnsi="TT1915Eo00" w:cs="TT1915Eo00"/>
          <w:color w:val="000000" w:themeColor="text1"/>
          <w:lang w:eastAsia="en-GB"/>
        </w:rPr>
        <w:t xml:space="preserve">• </w:t>
      </w:r>
      <w:r w:rsidRPr="00930A65">
        <w:rPr>
          <w:rFonts w:ascii="TT1915Do00" w:eastAsia="Cambria" w:hAnsi="TT1915Do00" w:cs="TT1915Do00"/>
          <w:color w:val="000000" w:themeColor="text1"/>
          <w:lang w:eastAsia="en-GB"/>
        </w:rPr>
        <w:t>the future service liabilities for which these contributions will be paid have a</w:t>
      </w:r>
      <w:r w:rsidR="00E4638B"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longer average duration than the past service liabilities.</w:t>
      </w:r>
    </w:p>
    <w:p w:rsidR="00371BC0" w:rsidRPr="00930A65" w:rsidRDefault="00371BC0" w:rsidP="00612C1F">
      <w:pPr>
        <w:spacing w:after="0"/>
        <w:jc w:val="left"/>
        <w:rPr>
          <w:rFonts w:ascii="TT1915Do00" w:eastAsia="Cambria" w:hAnsi="TT1915Do00" w:cs="TT1915Do00"/>
          <w:color w:val="000000" w:themeColor="text1"/>
          <w:lang w:eastAsia="en-GB"/>
        </w:rPr>
      </w:pPr>
    </w:p>
    <w:p w:rsidR="00B63C97" w:rsidRDefault="00612C1F" w:rsidP="00612C1F">
      <w:pPr>
        <w:spacing w:after="0"/>
        <w:jc w:val="left"/>
        <w:rPr>
          <w:rFonts w:ascii="TT1915Do00" w:eastAsia="Cambria" w:hAnsi="TT1915Do00" w:cs="TT1915Do00"/>
          <w:color w:val="000000" w:themeColor="text1"/>
          <w:lang w:eastAsia="en-GB"/>
        </w:rPr>
      </w:pPr>
      <w:r w:rsidRPr="00930A65">
        <w:rPr>
          <w:rFonts w:ascii="TT1915Do00" w:eastAsia="Cambria" w:hAnsi="TT1915Do00" w:cs="TT1915Do00"/>
          <w:color w:val="000000" w:themeColor="text1"/>
          <w:lang w:eastAsia="en-GB"/>
        </w:rPr>
        <w:t>The financial assumptions in relation to future service (i.e. the normal cost) are not</w:t>
      </w:r>
      <w:r w:rsidR="00E4638B"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specifically linked to investment conditions as at the valuation date itself, and are based</w:t>
      </w:r>
      <w:r w:rsidR="00E4638B"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 xml:space="preserve">on an overall assumed real return (i.e. return in excess of </w:t>
      </w:r>
      <w:r w:rsidR="00AE0D12">
        <w:rPr>
          <w:rFonts w:ascii="TT1915Do00" w:eastAsia="Cambria" w:hAnsi="TT1915Do00" w:cs="TT1915Do00"/>
          <w:color w:val="000000" w:themeColor="text1"/>
          <w:lang w:eastAsia="en-GB"/>
        </w:rPr>
        <w:t xml:space="preserve">CPI </w:t>
      </w:r>
      <w:r w:rsidRPr="00930A65">
        <w:rPr>
          <w:rFonts w:ascii="TT1915Do00" w:eastAsia="Cambria" w:hAnsi="TT1915Do00" w:cs="TT1915Do00"/>
          <w:color w:val="000000" w:themeColor="text1"/>
          <w:lang w:eastAsia="en-GB"/>
        </w:rPr>
        <w:t xml:space="preserve">price inflation) of </w:t>
      </w:r>
      <w:r w:rsidR="00B63C97">
        <w:rPr>
          <w:rFonts w:ascii="TT1915Do00" w:eastAsia="Cambria" w:hAnsi="TT1915Do00" w:cs="TT1915Do00"/>
          <w:color w:val="000000" w:themeColor="text1"/>
          <w:lang w:eastAsia="en-GB"/>
        </w:rPr>
        <w:t>3</w:t>
      </w:r>
      <w:r w:rsidRPr="00930A65">
        <w:rPr>
          <w:rFonts w:ascii="TT1915Do00" w:eastAsia="Cambria" w:hAnsi="TT1915Do00" w:cs="TT1915Do00"/>
          <w:color w:val="000000" w:themeColor="text1"/>
          <w:lang w:eastAsia="en-GB"/>
        </w:rPr>
        <w:t>% per</w:t>
      </w:r>
      <w:r w:rsidR="00E4638B"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 xml:space="preserve">annum, with a long term average assumption for price inflation of </w:t>
      </w:r>
      <w:r w:rsidR="00B63C97">
        <w:rPr>
          <w:rFonts w:ascii="TT1915Do00" w:eastAsia="Cambria" w:hAnsi="TT1915Do00" w:cs="TT1915Do00"/>
          <w:color w:val="000000" w:themeColor="text1"/>
          <w:lang w:eastAsia="en-GB"/>
        </w:rPr>
        <w:t>2.6</w:t>
      </w:r>
      <w:r w:rsidRPr="00930A65">
        <w:rPr>
          <w:rFonts w:ascii="TT1915Do00" w:eastAsia="Cambria" w:hAnsi="TT1915Do00" w:cs="TT1915Do00"/>
          <w:color w:val="000000" w:themeColor="text1"/>
          <w:lang w:eastAsia="en-GB"/>
        </w:rPr>
        <w:t>% per annum.</w:t>
      </w:r>
      <w:r w:rsidR="00B63C97">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 xml:space="preserve">These two assumptions give rise to an overall discount rate of </w:t>
      </w:r>
      <w:r w:rsidR="00B63C97">
        <w:rPr>
          <w:rFonts w:ascii="TT1915Do00" w:eastAsia="Cambria" w:hAnsi="TT1915Do00" w:cs="TT1915Do00"/>
          <w:color w:val="000000" w:themeColor="text1"/>
          <w:lang w:eastAsia="en-GB"/>
        </w:rPr>
        <w:t>5.6</w:t>
      </w:r>
      <w:r w:rsidRPr="00930A65">
        <w:rPr>
          <w:rFonts w:ascii="TT1915Do00" w:eastAsia="Cambria" w:hAnsi="TT1915Do00" w:cs="TT1915Do00"/>
          <w:color w:val="000000" w:themeColor="text1"/>
          <w:lang w:eastAsia="en-GB"/>
        </w:rPr>
        <w:t>% p.a.</w:t>
      </w:r>
    </w:p>
    <w:p w:rsidR="00B63C97" w:rsidRDefault="00B63C97" w:rsidP="00612C1F">
      <w:pPr>
        <w:spacing w:after="0"/>
        <w:jc w:val="left"/>
        <w:rPr>
          <w:rFonts w:ascii="TT1915Do00" w:eastAsia="Cambria" w:hAnsi="TT1915Do00" w:cs="TT1915Do00"/>
          <w:color w:val="000000" w:themeColor="text1"/>
          <w:lang w:eastAsia="en-GB"/>
        </w:rPr>
      </w:pPr>
    </w:p>
    <w:p w:rsidR="00612C1F" w:rsidRPr="00930A65" w:rsidRDefault="00612C1F" w:rsidP="00612C1F">
      <w:pPr>
        <w:spacing w:after="0"/>
        <w:jc w:val="left"/>
        <w:rPr>
          <w:rFonts w:ascii="TT1915Do00" w:eastAsia="Cambria" w:hAnsi="TT1915Do00" w:cs="TT1915Do00"/>
          <w:color w:val="000000" w:themeColor="text1"/>
          <w:lang w:eastAsia="en-GB"/>
        </w:rPr>
      </w:pPr>
      <w:r w:rsidRPr="00930A65">
        <w:rPr>
          <w:rFonts w:ascii="TT1915Do00" w:eastAsia="Cambria" w:hAnsi="TT1915Do00" w:cs="TT1915Do00"/>
          <w:color w:val="000000" w:themeColor="text1"/>
          <w:lang w:eastAsia="en-GB"/>
        </w:rPr>
        <w:t>Adopting this approach the future service rate is not subject to variation solely due to</w:t>
      </w:r>
      <w:r w:rsidR="00E4638B"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different market conditions applying at each successive valuation, which reflects the</w:t>
      </w:r>
      <w:r w:rsidR="00E4638B"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requirement in the Regulations for stability in the “Common Rate” of contributions. In</w:t>
      </w:r>
      <w:r w:rsidR="00E4638B"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 xml:space="preserve">market conditions at the effective date of the </w:t>
      </w:r>
      <w:r w:rsidR="00B63C97">
        <w:rPr>
          <w:rFonts w:ascii="TT1915Do00" w:eastAsia="Cambria" w:hAnsi="TT1915Do00" w:cs="TT1915Do00"/>
          <w:color w:val="000000" w:themeColor="text1"/>
          <w:lang w:eastAsia="en-GB"/>
        </w:rPr>
        <w:t>2013</w:t>
      </w:r>
      <w:r w:rsidR="00B63C97"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valuation this approach gives rise to</w:t>
      </w:r>
      <w:r w:rsidR="00E4638B"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a somewhat more optimistic stance in relation to the cost of accrual of future benefits</w:t>
      </w:r>
      <w:r w:rsidR="00E4638B"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compared to the market related basis used for the assessment of the funding target.</w:t>
      </w:r>
    </w:p>
    <w:p w:rsidR="00E4638B" w:rsidRPr="00930A65" w:rsidRDefault="00E4638B" w:rsidP="00612C1F">
      <w:pPr>
        <w:spacing w:after="0"/>
        <w:jc w:val="left"/>
        <w:rPr>
          <w:rFonts w:ascii="TT1915Do00" w:eastAsia="Cambria" w:hAnsi="TT1915Do00" w:cs="TT1915Do00"/>
          <w:color w:val="000000" w:themeColor="text1"/>
          <w:lang w:eastAsia="en-GB"/>
        </w:rPr>
      </w:pPr>
    </w:p>
    <w:p w:rsidR="00612C1F" w:rsidRPr="00930A65" w:rsidRDefault="00612C1F" w:rsidP="00612C1F">
      <w:pPr>
        <w:spacing w:after="0"/>
        <w:jc w:val="left"/>
        <w:rPr>
          <w:rFonts w:ascii="TT1915Do00" w:eastAsia="Cambria" w:hAnsi="TT1915Do00" w:cs="TT1915Do00"/>
          <w:color w:val="000000" w:themeColor="text1"/>
          <w:lang w:eastAsia="en-GB"/>
        </w:rPr>
      </w:pPr>
      <w:r w:rsidRPr="00930A65">
        <w:rPr>
          <w:rFonts w:ascii="TT1915Do00" w:eastAsia="Cambria" w:hAnsi="TT1915Do00" w:cs="TT1915Do00"/>
          <w:color w:val="000000" w:themeColor="text1"/>
          <w:lang w:eastAsia="en-GB"/>
        </w:rPr>
        <w:t>At each valuation the cost of the benefits accrued since the previous valuation will</w:t>
      </w:r>
      <w:r w:rsidR="00E4638B"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become a past service liability. At that time any mismatch against gilt yields and the</w:t>
      </w:r>
      <w:r w:rsidR="00E4638B"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asset out-performance assumptions used for the funding target is fully taken into</w:t>
      </w:r>
      <w:r w:rsidR="00E4638B" w:rsidRPr="00930A65">
        <w:rPr>
          <w:rFonts w:ascii="TT1915Do00" w:eastAsia="Cambria" w:hAnsi="TT1915Do00" w:cs="TT1915Do00"/>
          <w:color w:val="000000" w:themeColor="text1"/>
          <w:lang w:eastAsia="en-GB"/>
        </w:rPr>
        <w:t xml:space="preserve"> </w:t>
      </w:r>
      <w:r w:rsidRPr="00930A65">
        <w:rPr>
          <w:rFonts w:ascii="TT1915Do00" w:eastAsia="Cambria" w:hAnsi="TT1915Do00" w:cs="TT1915Do00"/>
          <w:color w:val="000000" w:themeColor="text1"/>
          <w:lang w:eastAsia="en-GB"/>
        </w:rPr>
        <w:t>account in assessing the funding position.</w:t>
      </w:r>
    </w:p>
    <w:p w:rsidR="001F679F" w:rsidRDefault="001F679F">
      <w:pPr>
        <w:autoSpaceDE/>
        <w:autoSpaceDN/>
        <w:adjustRightInd/>
        <w:spacing w:after="0"/>
        <w:jc w:val="left"/>
        <w:rPr>
          <w:rFonts w:ascii="TT1915Ao00" w:eastAsia="Cambria" w:hAnsi="TT1915Ao00" w:cs="TT1915Ao00"/>
          <w:color w:val="000000" w:themeColor="text1"/>
          <w:lang w:eastAsia="en-GB"/>
        </w:rPr>
      </w:pPr>
      <w:r>
        <w:rPr>
          <w:rFonts w:ascii="TT1915Ao00" w:eastAsia="Cambria" w:hAnsi="TT1915Ao00" w:cs="TT1915Ao00"/>
          <w:color w:val="000000" w:themeColor="text1"/>
          <w:lang w:eastAsia="en-GB"/>
        </w:rPr>
        <w:br w:type="page"/>
      </w:r>
    </w:p>
    <w:p w:rsidR="00E4638B" w:rsidRPr="00930A65" w:rsidRDefault="00E4638B" w:rsidP="00612C1F">
      <w:pPr>
        <w:spacing w:after="0"/>
        <w:jc w:val="left"/>
        <w:rPr>
          <w:rFonts w:ascii="TT1915Ao00" w:eastAsia="Cambria" w:hAnsi="TT1915Ao00" w:cs="TT1915Ao00"/>
          <w:color w:val="000000" w:themeColor="text1"/>
          <w:lang w:eastAsia="en-GB"/>
        </w:rPr>
      </w:pPr>
    </w:p>
    <w:p w:rsidR="00612C1F" w:rsidRPr="00B63C97" w:rsidRDefault="00612C1F" w:rsidP="00612C1F">
      <w:pPr>
        <w:spacing w:after="0"/>
        <w:jc w:val="left"/>
        <w:rPr>
          <w:rFonts w:ascii="TT1915Ao00" w:eastAsia="Cambria" w:hAnsi="TT1915Ao00" w:cs="TT1915Ao00"/>
          <w:b/>
          <w:color w:val="000000" w:themeColor="text1"/>
          <w:lang w:eastAsia="en-GB"/>
        </w:rPr>
      </w:pPr>
      <w:r w:rsidRPr="00B63C97">
        <w:rPr>
          <w:rFonts w:ascii="TT1915Ao00" w:eastAsia="Cambria" w:hAnsi="TT1915Ao00" w:cs="TT1915Ao00"/>
          <w:b/>
          <w:color w:val="000000" w:themeColor="text1"/>
          <w:lang w:eastAsia="en-GB"/>
        </w:rPr>
        <w:t>Summary of key whole Fund financial assumptions used for calculating funding</w:t>
      </w:r>
      <w:r w:rsidR="00E4638B" w:rsidRPr="00B63C97">
        <w:rPr>
          <w:rFonts w:ascii="TT1915Ao00" w:eastAsia="Cambria" w:hAnsi="TT1915Ao00" w:cs="TT1915Ao00"/>
          <w:b/>
          <w:color w:val="000000" w:themeColor="text1"/>
          <w:lang w:eastAsia="en-GB"/>
        </w:rPr>
        <w:t xml:space="preserve"> </w:t>
      </w:r>
      <w:r w:rsidRPr="00B63C97">
        <w:rPr>
          <w:rFonts w:ascii="TT1915Ao00" w:eastAsia="Cambria" w:hAnsi="TT1915Ao00" w:cs="TT1915Ao00"/>
          <w:b/>
          <w:color w:val="000000" w:themeColor="text1"/>
          <w:lang w:eastAsia="en-GB"/>
        </w:rPr>
        <w:t>target and cost of future accrual (the “normal cost”) for the 201</w:t>
      </w:r>
      <w:r w:rsidR="00B63C97" w:rsidRPr="00B63C97">
        <w:rPr>
          <w:rFonts w:ascii="TT1915Ao00" w:eastAsia="Cambria" w:hAnsi="TT1915Ao00" w:cs="TT1915Ao00"/>
          <w:b/>
          <w:color w:val="000000" w:themeColor="text1"/>
          <w:lang w:eastAsia="en-GB"/>
        </w:rPr>
        <w:t>3</w:t>
      </w:r>
      <w:r w:rsidRPr="00B63C97">
        <w:rPr>
          <w:rFonts w:ascii="TT1915Ao00" w:eastAsia="Cambria" w:hAnsi="TT1915Ao00" w:cs="TT1915Ao00"/>
          <w:b/>
          <w:color w:val="000000" w:themeColor="text1"/>
          <w:lang w:eastAsia="en-GB"/>
        </w:rPr>
        <w:t xml:space="preserve"> actuarial</w:t>
      </w:r>
      <w:r w:rsidR="00E4638B" w:rsidRPr="00B63C97">
        <w:rPr>
          <w:rFonts w:ascii="TT1915Ao00" w:eastAsia="Cambria" w:hAnsi="TT1915Ao00" w:cs="TT1915Ao00"/>
          <w:b/>
          <w:color w:val="000000" w:themeColor="text1"/>
          <w:lang w:eastAsia="en-GB"/>
        </w:rPr>
        <w:t xml:space="preserve"> </w:t>
      </w:r>
      <w:r w:rsidRPr="00B63C97">
        <w:rPr>
          <w:rFonts w:ascii="TT1915Ao00" w:eastAsia="Cambria" w:hAnsi="TT1915Ao00" w:cs="TT1915Ao00"/>
          <w:b/>
          <w:color w:val="000000" w:themeColor="text1"/>
          <w:lang w:eastAsia="en-GB"/>
        </w:rPr>
        <w:t>valuation</w:t>
      </w:r>
    </w:p>
    <w:p w:rsidR="00E4638B" w:rsidRPr="00930A65" w:rsidRDefault="00E4638B" w:rsidP="00612C1F">
      <w:pPr>
        <w:spacing w:after="0"/>
        <w:jc w:val="left"/>
        <w:rPr>
          <w:rFonts w:ascii="TT1915Do00" w:eastAsia="Cambria" w:hAnsi="TT1915Do00" w:cs="TT1915Do00"/>
          <w:color w:val="000000" w:themeColor="text1"/>
          <w:lang w:eastAsia="en-GB"/>
        </w:rPr>
      </w:pPr>
    </w:p>
    <w:p w:rsidR="00E4638B" w:rsidRDefault="00E4638B" w:rsidP="00612C1F">
      <w:pPr>
        <w:spacing w:after="0"/>
        <w:jc w:val="left"/>
        <w:rPr>
          <w:rFonts w:ascii="TT1915Ao00" w:eastAsia="Cambria" w:hAnsi="TT1915Ao00" w:cs="TT1915Ao00"/>
          <w:color w:val="000000" w:themeColor="text1"/>
          <w:lang w:eastAsia="en-GB"/>
        </w:rPr>
      </w:pPr>
    </w:p>
    <w:tbl>
      <w:tblPr>
        <w:tblStyle w:val="TableGrid"/>
        <w:tblpPr w:leftFromText="180" w:rightFromText="180" w:vertAnchor="text" w:horzAnchor="margin" w:tblpY="110"/>
        <w:tblW w:w="9914" w:type="dxa"/>
        <w:tblBorders>
          <w:left w:val="none" w:sz="0" w:space="0" w:color="auto"/>
          <w:right w:val="none" w:sz="0" w:space="0" w:color="auto"/>
          <w:insideV w:val="none" w:sz="0" w:space="0" w:color="auto"/>
        </w:tblBorders>
        <w:tblCellMar>
          <w:left w:w="72" w:type="dxa"/>
          <w:right w:w="72" w:type="dxa"/>
        </w:tblCellMar>
        <w:tblLook w:val="01E0"/>
      </w:tblPr>
      <w:tblGrid>
        <w:gridCol w:w="414"/>
        <w:gridCol w:w="4518"/>
        <w:gridCol w:w="4982"/>
      </w:tblGrid>
      <w:tr w:rsidR="00B63C97" w:rsidRPr="009A05AB" w:rsidTr="00563A61">
        <w:trPr>
          <w:cantSplit/>
        </w:trPr>
        <w:tc>
          <w:tcPr>
            <w:tcW w:w="4932" w:type="dxa"/>
            <w:gridSpan w:val="2"/>
            <w:tcBorders>
              <w:top w:val="single" w:sz="8" w:space="0" w:color="auto"/>
              <w:bottom w:val="single" w:sz="8" w:space="0" w:color="auto"/>
            </w:tcBorders>
            <w:shd w:val="clear" w:color="auto" w:fill="auto"/>
            <w:vAlign w:val="bottom"/>
          </w:tcPr>
          <w:p w:rsidR="00B63C97" w:rsidRPr="00B63C97" w:rsidRDefault="00B63C97" w:rsidP="00563A61">
            <w:pPr>
              <w:pStyle w:val="TableHeadingText"/>
              <w:spacing w:before="100" w:beforeAutospacing="1" w:after="100" w:afterAutospacing="1"/>
              <w:rPr>
                <w:b w:val="0"/>
                <w:sz w:val="24"/>
                <w:szCs w:val="24"/>
              </w:rPr>
            </w:pPr>
            <w:r w:rsidRPr="00B63C97">
              <w:rPr>
                <w:b w:val="0"/>
                <w:sz w:val="24"/>
                <w:szCs w:val="24"/>
              </w:rPr>
              <w:t>Long-term gilt yields</w:t>
            </w:r>
          </w:p>
        </w:tc>
        <w:tc>
          <w:tcPr>
            <w:tcW w:w="4982" w:type="dxa"/>
            <w:tcBorders>
              <w:top w:val="single" w:sz="8" w:space="0" w:color="auto"/>
              <w:bottom w:val="single" w:sz="8" w:space="0" w:color="auto"/>
            </w:tcBorders>
            <w:shd w:val="clear" w:color="auto" w:fill="auto"/>
            <w:vAlign w:val="bottom"/>
          </w:tcPr>
          <w:p w:rsidR="00B63C97" w:rsidRPr="00B63C97" w:rsidRDefault="00B63C97" w:rsidP="00563A61">
            <w:pPr>
              <w:pStyle w:val="TableHeadingText"/>
              <w:spacing w:before="100" w:beforeAutospacing="1" w:after="100" w:afterAutospacing="1"/>
              <w:rPr>
                <w:b w:val="0"/>
                <w:sz w:val="24"/>
                <w:szCs w:val="24"/>
              </w:rPr>
            </w:pPr>
          </w:p>
        </w:tc>
      </w:tr>
      <w:tr w:rsidR="00B63C97" w:rsidRPr="009A05AB" w:rsidTr="00563A61">
        <w:trPr>
          <w:cantSplit/>
        </w:trPr>
        <w:tc>
          <w:tcPr>
            <w:tcW w:w="414" w:type="dxa"/>
            <w:tcBorders>
              <w:top w:val="single" w:sz="8" w:space="0" w:color="auto"/>
            </w:tcBorders>
            <w:shd w:val="clear" w:color="auto" w:fill="auto"/>
          </w:tcPr>
          <w:p w:rsidR="00B63C97" w:rsidRPr="00B63C97" w:rsidRDefault="00B63C97" w:rsidP="00563A61">
            <w:pPr>
              <w:pStyle w:val="TableText"/>
              <w:spacing w:before="100" w:beforeAutospacing="1" w:after="100" w:afterAutospacing="1"/>
              <w:rPr>
                <w:sz w:val="24"/>
                <w:szCs w:val="24"/>
              </w:rPr>
            </w:pPr>
          </w:p>
        </w:tc>
        <w:tc>
          <w:tcPr>
            <w:tcW w:w="4518" w:type="dxa"/>
            <w:tcBorders>
              <w:top w:val="single" w:sz="8" w:space="0" w:color="auto"/>
            </w:tcBorders>
            <w:shd w:val="clear" w:color="auto" w:fill="auto"/>
          </w:tcPr>
          <w:p w:rsidR="00B63C97" w:rsidRPr="00B63C97" w:rsidRDefault="00B63C97" w:rsidP="00563A61">
            <w:pPr>
              <w:pStyle w:val="TableText"/>
              <w:spacing w:before="100" w:beforeAutospacing="1" w:after="100" w:afterAutospacing="1"/>
              <w:rPr>
                <w:sz w:val="24"/>
                <w:szCs w:val="24"/>
              </w:rPr>
            </w:pPr>
            <w:r w:rsidRPr="00B63C97">
              <w:rPr>
                <w:sz w:val="24"/>
                <w:szCs w:val="24"/>
              </w:rPr>
              <w:t>Fixed interest</w:t>
            </w:r>
          </w:p>
        </w:tc>
        <w:tc>
          <w:tcPr>
            <w:tcW w:w="4982" w:type="dxa"/>
            <w:tcBorders>
              <w:top w:val="single" w:sz="8" w:space="0" w:color="auto"/>
            </w:tcBorders>
            <w:shd w:val="clear" w:color="auto" w:fill="auto"/>
          </w:tcPr>
          <w:p w:rsidR="00B63C97" w:rsidRPr="00B63C97" w:rsidRDefault="00B63C97" w:rsidP="00563A61">
            <w:pPr>
              <w:pStyle w:val="TableText"/>
              <w:spacing w:before="100" w:beforeAutospacing="1" w:after="100" w:afterAutospacing="1"/>
              <w:rPr>
                <w:sz w:val="24"/>
                <w:szCs w:val="24"/>
              </w:rPr>
            </w:pPr>
            <w:r w:rsidRPr="00B63C97">
              <w:rPr>
                <w:sz w:val="24"/>
                <w:szCs w:val="24"/>
              </w:rPr>
              <w:t>3.2% p.a.</w:t>
            </w:r>
          </w:p>
        </w:tc>
      </w:tr>
      <w:tr w:rsidR="00B63C97" w:rsidRPr="009A05AB" w:rsidTr="00563A61">
        <w:trPr>
          <w:cantSplit/>
        </w:trPr>
        <w:tc>
          <w:tcPr>
            <w:tcW w:w="414" w:type="dxa"/>
            <w:shd w:val="clear" w:color="auto" w:fill="auto"/>
          </w:tcPr>
          <w:p w:rsidR="00B63C97" w:rsidRPr="00B63C97" w:rsidRDefault="00B63C97" w:rsidP="00563A61">
            <w:pPr>
              <w:pStyle w:val="TableText"/>
              <w:spacing w:before="100" w:beforeAutospacing="1" w:after="100" w:afterAutospacing="1"/>
              <w:rPr>
                <w:sz w:val="24"/>
                <w:szCs w:val="24"/>
              </w:rPr>
            </w:pPr>
          </w:p>
        </w:tc>
        <w:tc>
          <w:tcPr>
            <w:tcW w:w="4518" w:type="dxa"/>
            <w:shd w:val="clear" w:color="auto" w:fill="auto"/>
          </w:tcPr>
          <w:p w:rsidR="00B63C97" w:rsidRPr="00B63C97" w:rsidRDefault="00B63C97" w:rsidP="00563A61">
            <w:pPr>
              <w:pStyle w:val="TableText"/>
              <w:spacing w:before="100" w:beforeAutospacing="1" w:after="100" w:afterAutospacing="1"/>
              <w:rPr>
                <w:sz w:val="24"/>
                <w:szCs w:val="24"/>
              </w:rPr>
            </w:pPr>
            <w:r w:rsidRPr="00B63C97">
              <w:rPr>
                <w:sz w:val="24"/>
                <w:szCs w:val="24"/>
              </w:rPr>
              <w:t>Index linked</w:t>
            </w:r>
          </w:p>
        </w:tc>
        <w:tc>
          <w:tcPr>
            <w:tcW w:w="4982" w:type="dxa"/>
            <w:shd w:val="clear" w:color="auto" w:fill="auto"/>
          </w:tcPr>
          <w:p w:rsidR="00B63C97" w:rsidRPr="00B63C97" w:rsidRDefault="00B63C97" w:rsidP="00563A61">
            <w:pPr>
              <w:pStyle w:val="TableText"/>
              <w:spacing w:before="100" w:beforeAutospacing="1" w:after="100" w:afterAutospacing="1"/>
              <w:rPr>
                <w:sz w:val="24"/>
                <w:szCs w:val="24"/>
              </w:rPr>
            </w:pPr>
            <w:r w:rsidRPr="00B63C97">
              <w:rPr>
                <w:sz w:val="24"/>
                <w:szCs w:val="24"/>
              </w:rPr>
              <w:t>-0.4% p.a.</w:t>
            </w:r>
          </w:p>
        </w:tc>
      </w:tr>
      <w:tr w:rsidR="00B63C97" w:rsidRPr="009A05AB" w:rsidTr="00563A61">
        <w:trPr>
          <w:cantSplit/>
        </w:trPr>
        <w:tc>
          <w:tcPr>
            <w:tcW w:w="4932" w:type="dxa"/>
            <w:gridSpan w:val="2"/>
            <w:shd w:val="clear" w:color="auto" w:fill="auto"/>
          </w:tcPr>
          <w:p w:rsidR="00B63C97" w:rsidRPr="00B63C97" w:rsidRDefault="00B63C97" w:rsidP="00563A61">
            <w:pPr>
              <w:pStyle w:val="TableHeadingText"/>
              <w:spacing w:before="100" w:beforeAutospacing="1" w:after="100" w:afterAutospacing="1"/>
              <w:ind w:right="-792"/>
              <w:rPr>
                <w:b w:val="0"/>
                <w:sz w:val="24"/>
                <w:szCs w:val="24"/>
              </w:rPr>
            </w:pPr>
            <w:r w:rsidRPr="00B63C97">
              <w:rPr>
                <w:b w:val="0"/>
                <w:sz w:val="24"/>
                <w:szCs w:val="24"/>
              </w:rPr>
              <w:t xml:space="preserve">Past service Funding Target financial </w:t>
            </w:r>
            <w:r w:rsidRPr="00B63C97">
              <w:rPr>
                <w:b w:val="0"/>
                <w:sz w:val="24"/>
                <w:szCs w:val="24"/>
              </w:rPr>
              <w:br/>
              <w:t>assumptions</w:t>
            </w:r>
          </w:p>
        </w:tc>
        <w:tc>
          <w:tcPr>
            <w:tcW w:w="4982" w:type="dxa"/>
            <w:shd w:val="clear" w:color="auto" w:fill="auto"/>
          </w:tcPr>
          <w:p w:rsidR="00B63C97" w:rsidRPr="00B63C97" w:rsidRDefault="00B63C97" w:rsidP="00563A61">
            <w:pPr>
              <w:pStyle w:val="TableText"/>
              <w:spacing w:before="100" w:beforeAutospacing="1" w:after="100" w:afterAutospacing="1"/>
              <w:rPr>
                <w:sz w:val="24"/>
                <w:szCs w:val="24"/>
              </w:rPr>
            </w:pPr>
          </w:p>
        </w:tc>
      </w:tr>
      <w:tr w:rsidR="00B63C97" w:rsidRPr="009A05AB" w:rsidTr="00563A61">
        <w:trPr>
          <w:cantSplit/>
        </w:trPr>
        <w:tc>
          <w:tcPr>
            <w:tcW w:w="414" w:type="dxa"/>
            <w:shd w:val="clear" w:color="auto" w:fill="auto"/>
          </w:tcPr>
          <w:p w:rsidR="00B63C97" w:rsidRPr="00B63C97" w:rsidRDefault="00B63C97" w:rsidP="00563A61">
            <w:pPr>
              <w:pStyle w:val="TableText"/>
              <w:spacing w:before="100" w:beforeAutospacing="1" w:after="100" w:afterAutospacing="1"/>
              <w:rPr>
                <w:sz w:val="24"/>
                <w:szCs w:val="24"/>
              </w:rPr>
            </w:pPr>
          </w:p>
        </w:tc>
        <w:tc>
          <w:tcPr>
            <w:tcW w:w="4518" w:type="dxa"/>
            <w:shd w:val="clear" w:color="auto" w:fill="auto"/>
          </w:tcPr>
          <w:p w:rsidR="00B63C97" w:rsidRPr="00B63C97" w:rsidRDefault="00B63C97" w:rsidP="00563A61">
            <w:pPr>
              <w:pStyle w:val="TableText"/>
              <w:spacing w:before="100" w:beforeAutospacing="1" w:after="100" w:afterAutospacing="1"/>
              <w:rPr>
                <w:sz w:val="24"/>
                <w:szCs w:val="24"/>
              </w:rPr>
            </w:pPr>
            <w:r w:rsidRPr="00B63C97">
              <w:rPr>
                <w:sz w:val="24"/>
                <w:szCs w:val="24"/>
              </w:rPr>
              <w:t>Investment return/Discount Rate</w:t>
            </w:r>
          </w:p>
        </w:tc>
        <w:tc>
          <w:tcPr>
            <w:tcW w:w="4982" w:type="dxa"/>
            <w:shd w:val="clear" w:color="auto" w:fill="auto"/>
          </w:tcPr>
          <w:p w:rsidR="00B63C97" w:rsidRPr="00B63C97" w:rsidRDefault="00B63C97" w:rsidP="00563A61">
            <w:pPr>
              <w:pStyle w:val="TableText"/>
              <w:spacing w:before="100" w:beforeAutospacing="1" w:after="100" w:afterAutospacing="1"/>
              <w:rPr>
                <w:sz w:val="24"/>
                <w:szCs w:val="24"/>
              </w:rPr>
            </w:pPr>
            <w:r w:rsidRPr="00B63C97">
              <w:rPr>
                <w:sz w:val="24"/>
                <w:szCs w:val="24"/>
              </w:rPr>
              <w:t>4.8% p.a.</w:t>
            </w:r>
          </w:p>
        </w:tc>
      </w:tr>
      <w:tr w:rsidR="00B63C97" w:rsidRPr="009A05AB" w:rsidTr="00563A61">
        <w:trPr>
          <w:cantSplit/>
        </w:trPr>
        <w:tc>
          <w:tcPr>
            <w:tcW w:w="414" w:type="dxa"/>
            <w:shd w:val="clear" w:color="auto" w:fill="auto"/>
          </w:tcPr>
          <w:p w:rsidR="00B63C97" w:rsidRPr="00B63C97" w:rsidRDefault="00B63C97" w:rsidP="00563A61">
            <w:pPr>
              <w:pStyle w:val="TableText"/>
              <w:spacing w:before="100" w:beforeAutospacing="1" w:after="100" w:afterAutospacing="1"/>
              <w:rPr>
                <w:sz w:val="24"/>
                <w:szCs w:val="24"/>
              </w:rPr>
            </w:pPr>
          </w:p>
        </w:tc>
        <w:tc>
          <w:tcPr>
            <w:tcW w:w="4518" w:type="dxa"/>
            <w:shd w:val="clear" w:color="auto" w:fill="auto"/>
          </w:tcPr>
          <w:p w:rsidR="00B63C97" w:rsidRPr="00B63C97" w:rsidRDefault="00B63C97" w:rsidP="00563A61">
            <w:pPr>
              <w:pStyle w:val="TableText"/>
              <w:spacing w:before="100" w:beforeAutospacing="1" w:after="100" w:afterAutospacing="1"/>
              <w:rPr>
                <w:sz w:val="24"/>
                <w:szCs w:val="24"/>
              </w:rPr>
            </w:pPr>
            <w:r w:rsidRPr="00B63C97">
              <w:rPr>
                <w:sz w:val="24"/>
                <w:szCs w:val="24"/>
              </w:rPr>
              <w:t>CPI price inflation</w:t>
            </w:r>
          </w:p>
        </w:tc>
        <w:tc>
          <w:tcPr>
            <w:tcW w:w="4982" w:type="dxa"/>
            <w:shd w:val="clear" w:color="auto" w:fill="auto"/>
          </w:tcPr>
          <w:p w:rsidR="00B63C97" w:rsidRPr="00B63C97" w:rsidRDefault="00B63C97" w:rsidP="00563A61">
            <w:pPr>
              <w:pStyle w:val="TableText"/>
              <w:spacing w:before="100" w:beforeAutospacing="1" w:after="100" w:afterAutospacing="1"/>
              <w:rPr>
                <w:sz w:val="24"/>
                <w:szCs w:val="24"/>
              </w:rPr>
            </w:pPr>
            <w:r w:rsidRPr="00B63C97">
              <w:rPr>
                <w:sz w:val="24"/>
                <w:szCs w:val="24"/>
              </w:rPr>
              <w:t>2.6% p.a.</w:t>
            </w:r>
          </w:p>
        </w:tc>
      </w:tr>
      <w:tr w:rsidR="00B63C97" w:rsidRPr="009A05AB" w:rsidTr="00563A61">
        <w:trPr>
          <w:cantSplit/>
        </w:trPr>
        <w:tc>
          <w:tcPr>
            <w:tcW w:w="414" w:type="dxa"/>
            <w:shd w:val="clear" w:color="auto" w:fill="auto"/>
          </w:tcPr>
          <w:p w:rsidR="00B63C97" w:rsidRPr="00B63C97" w:rsidRDefault="00B63C97" w:rsidP="00563A61">
            <w:pPr>
              <w:pStyle w:val="TableText"/>
              <w:spacing w:before="100" w:beforeAutospacing="1" w:after="100" w:afterAutospacing="1"/>
              <w:rPr>
                <w:sz w:val="24"/>
                <w:szCs w:val="24"/>
              </w:rPr>
            </w:pPr>
          </w:p>
        </w:tc>
        <w:tc>
          <w:tcPr>
            <w:tcW w:w="4518" w:type="dxa"/>
            <w:shd w:val="clear" w:color="auto" w:fill="auto"/>
          </w:tcPr>
          <w:p w:rsidR="00B63C97" w:rsidRPr="00B63C97" w:rsidRDefault="00B63C97" w:rsidP="00563A61">
            <w:pPr>
              <w:pStyle w:val="TableText"/>
              <w:spacing w:before="100" w:beforeAutospacing="1" w:after="100" w:afterAutospacing="1"/>
              <w:rPr>
                <w:sz w:val="24"/>
                <w:szCs w:val="24"/>
              </w:rPr>
            </w:pPr>
            <w:r w:rsidRPr="00B63C97">
              <w:rPr>
                <w:sz w:val="24"/>
                <w:szCs w:val="24"/>
              </w:rPr>
              <w:t>Long Term Salary increases</w:t>
            </w:r>
          </w:p>
        </w:tc>
        <w:tc>
          <w:tcPr>
            <w:tcW w:w="4982" w:type="dxa"/>
            <w:shd w:val="clear" w:color="auto" w:fill="auto"/>
          </w:tcPr>
          <w:p w:rsidR="00B63C97" w:rsidRPr="00B63C97" w:rsidRDefault="00B63C97" w:rsidP="00563A61">
            <w:pPr>
              <w:pStyle w:val="TableText"/>
              <w:spacing w:before="100" w:beforeAutospacing="1" w:after="100" w:afterAutospacing="1"/>
              <w:rPr>
                <w:sz w:val="24"/>
                <w:szCs w:val="24"/>
              </w:rPr>
            </w:pPr>
            <w:r w:rsidRPr="00B63C97">
              <w:rPr>
                <w:sz w:val="24"/>
                <w:szCs w:val="24"/>
              </w:rPr>
              <w:t>4.1% p.a.</w:t>
            </w:r>
          </w:p>
        </w:tc>
      </w:tr>
      <w:tr w:rsidR="00B63C97" w:rsidRPr="009A05AB" w:rsidTr="00563A61">
        <w:trPr>
          <w:cantSplit/>
        </w:trPr>
        <w:tc>
          <w:tcPr>
            <w:tcW w:w="414" w:type="dxa"/>
            <w:shd w:val="clear" w:color="auto" w:fill="auto"/>
          </w:tcPr>
          <w:p w:rsidR="00B63C97" w:rsidRPr="00B63C97" w:rsidRDefault="00B63C97" w:rsidP="00563A61">
            <w:pPr>
              <w:pStyle w:val="TableText"/>
              <w:spacing w:before="100" w:beforeAutospacing="1" w:after="100" w:afterAutospacing="1"/>
              <w:rPr>
                <w:sz w:val="24"/>
                <w:szCs w:val="24"/>
              </w:rPr>
            </w:pPr>
          </w:p>
        </w:tc>
        <w:tc>
          <w:tcPr>
            <w:tcW w:w="4518" w:type="dxa"/>
            <w:shd w:val="clear" w:color="auto" w:fill="auto"/>
          </w:tcPr>
          <w:p w:rsidR="00B63C97" w:rsidRPr="00B63C97" w:rsidRDefault="00B63C97" w:rsidP="00563A61">
            <w:pPr>
              <w:pStyle w:val="TableText"/>
              <w:spacing w:before="100" w:beforeAutospacing="1" w:after="100" w:afterAutospacing="1"/>
              <w:rPr>
                <w:sz w:val="24"/>
                <w:szCs w:val="24"/>
              </w:rPr>
            </w:pPr>
            <w:r w:rsidRPr="00B63C97">
              <w:rPr>
                <w:sz w:val="24"/>
                <w:szCs w:val="24"/>
              </w:rPr>
              <w:t>Pension increases/indexation of CARE benefits</w:t>
            </w:r>
          </w:p>
        </w:tc>
        <w:tc>
          <w:tcPr>
            <w:tcW w:w="4982" w:type="dxa"/>
            <w:shd w:val="clear" w:color="auto" w:fill="auto"/>
          </w:tcPr>
          <w:p w:rsidR="00B63C97" w:rsidRPr="00B63C97" w:rsidRDefault="00B63C97" w:rsidP="00563A61">
            <w:pPr>
              <w:pStyle w:val="TableText"/>
              <w:spacing w:before="100" w:beforeAutospacing="1" w:after="100" w:afterAutospacing="1"/>
              <w:rPr>
                <w:sz w:val="24"/>
                <w:szCs w:val="24"/>
              </w:rPr>
            </w:pPr>
            <w:r w:rsidRPr="00B63C97">
              <w:rPr>
                <w:sz w:val="24"/>
                <w:szCs w:val="24"/>
              </w:rPr>
              <w:t>2.6% p.a.</w:t>
            </w:r>
          </w:p>
        </w:tc>
      </w:tr>
      <w:tr w:rsidR="00B63C97" w:rsidRPr="009A05AB" w:rsidTr="00563A61">
        <w:trPr>
          <w:cantSplit/>
        </w:trPr>
        <w:tc>
          <w:tcPr>
            <w:tcW w:w="4932" w:type="dxa"/>
            <w:gridSpan w:val="2"/>
            <w:shd w:val="clear" w:color="auto" w:fill="auto"/>
          </w:tcPr>
          <w:p w:rsidR="00B63C97" w:rsidRPr="00B63C97" w:rsidRDefault="00B63C97" w:rsidP="00563A61">
            <w:pPr>
              <w:pStyle w:val="TableHeadingText"/>
              <w:spacing w:before="100" w:beforeAutospacing="1" w:after="100" w:afterAutospacing="1"/>
              <w:ind w:right="-432"/>
              <w:rPr>
                <w:b w:val="0"/>
                <w:sz w:val="24"/>
                <w:szCs w:val="24"/>
              </w:rPr>
            </w:pPr>
            <w:r w:rsidRPr="00B63C97">
              <w:rPr>
                <w:b w:val="0"/>
                <w:sz w:val="24"/>
                <w:szCs w:val="24"/>
              </w:rPr>
              <w:t xml:space="preserve">Future service accrual financial </w:t>
            </w:r>
            <w:r w:rsidRPr="00B63C97">
              <w:rPr>
                <w:b w:val="0"/>
                <w:sz w:val="24"/>
                <w:szCs w:val="24"/>
              </w:rPr>
              <w:br/>
              <w:t>assumptions</w:t>
            </w:r>
          </w:p>
        </w:tc>
        <w:tc>
          <w:tcPr>
            <w:tcW w:w="4982" w:type="dxa"/>
            <w:shd w:val="clear" w:color="auto" w:fill="auto"/>
          </w:tcPr>
          <w:p w:rsidR="00B63C97" w:rsidRPr="00B63C97" w:rsidRDefault="00B63C97" w:rsidP="00563A61">
            <w:pPr>
              <w:pStyle w:val="TableText"/>
              <w:spacing w:before="100" w:beforeAutospacing="1" w:after="100" w:afterAutospacing="1"/>
              <w:rPr>
                <w:sz w:val="24"/>
                <w:szCs w:val="24"/>
              </w:rPr>
            </w:pPr>
          </w:p>
        </w:tc>
      </w:tr>
      <w:tr w:rsidR="00B63C97" w:rsidRPr="009A05AB" w:rsidTr="00563A61">
        <w:trPr>
          <w:cantSplit/>
        </w:trPr>
        <w:tc>
          <w:tcPr>
            <w:tcW w:w="414" w:type="dxa"/>
            <w:shd w:val="clear" w:color="auto" w:fill="auto"/>
          </w:tcPr>
          <w:p w:rsidR="00B63C97" w:rsidRPr="00B63C97" w:rsidRDefault="00B63C97" w:rsidP="00563A61">
            <w:pPr>
              <w:pStyle w:val="TableText"/>
              <w:spacing w:before="100" w:beforeAutospacing="1" w:after="100" w:afterAutospacing="1"/>
              <w:rPr>
                <w:sz w:val="24"/>
                <w:szCs w:val="24"/>
              </w:rPr>
            </w:pPr>
          </w:p>
        </w:tc>
        <w:tc>
          <w:tcPr>
            <w:tcW w:w="4518" w:type="dxa"/>
            <w:shd w:val="clear" w:color="auto" w:fill="auto"/>
          </w:tcPr>
          <w:p w:rsidR="00B63C97" w:rsidRPr="00B63C97" w:rsidRDefault="00B63C97" w:rsidP="00563A61">
            <w:pPr>
              <w:pStyle w:val="TableText"/>
              <w:spacing w:before="100" w:beforeAutospacing="1" w:after="100" w:afterAutospacing="1"/>
              <w:rPr>
                <w:sz w:val="24"/>
                <w:szCs w:val="24"/>
              </w:rPr>
            </w:pPr>
            <w:r w:rsidRPr="00B63C97">
              <w:rPr>
                <w:sz w:val="24"/>
                <w:szCs w:val="24"/>
              </w:rPr>
              <w:t>Investment return</w:t>
            </w:r>
          </w:p>
        </w:tc>
        <w:tc>
          <w:tcPr>
            <w:tcW w:w="4982" w:type="dxa"/>
            <w:shd w:val="clear" w:color="auto" w:fill="auto"/>
          </w:tcPr>
          <w:p w:rsidR="00B63C97" w:rsidRPr="00B63C97" w:rsidRDefault="00B63C97" w:rsidP="00563A61">
            <w:pPr>
              <w:pStyle w:val="TableText"/>
              <w:spacing w:before="100" w:beforeAutospacing="1" w:after="100" w:afterAutospacing="1"/>
              <w:rPr>
                <w:sz w:val="24"/>
                <w:szCs w:val="24"/>
              </w:rPr>
            </w:pPr>
            <w:r w:rsidRPr="00B63C97">
              <w:rPr>
                <w:sz w:val="24"/>
                <w:szCs w:val="24"/>
              </w:rPr>
              <w:t>5.6% p.a.</w:t>
            </w:r>
          </w:p>
        </w:tc>
      </w:tr>
      <w:tr w:rsidR="00B63C97" w:rsidRPr="009A05AB" w:rsidTr="00563A61">
        <w:trPr>
          <w:cantSplit/>
        </w:trPr>
        <w:tc>
          <w:tcPr>
            <w:tcW w:w="414" w:type="dxa"/>
            <w:shd w:val="clear" w:color="auto" w:fill="auto"/>
          </w:tcPr>
          <w:p w:rsidR="00B63C97" w:rsidRPr="00B63C97" w:rsidRDefault="00B63C97" w:rsidP="00563A61">
            <w:pPr>
              <w:pStyle w:val="TableText"/>
              <w:spacing w:before="100" w:beforeAutospacing="1" w:after="100" w:afterAutospacing="1"/>
              <w:rPr>
                <w:sz w:val="24"/>
                <w:szCs w:val="24"/>
              </w:rPr>
            </w:pPr>
          </w:p>
        </w:tc>
        <w:tc>
          <w:tcPr>
            <w:tcW w:w="4518" w:type="dxa"/>
            <w:shd w:val="clear" w:color="auto" w:fill="auto"/>
          </w:tcPr>
          <w:p w:rsidR="00B63C97" w:rsidRPr="00B63C97" w:rsidRDefault="00B63C97" w:rsidP="00563A61">
            <w:pPr>
              <w:pStyle w:val="TableText"/>
              <w:spacing w:before="100" w:beforeAutospacing="1" w:after="100" w:afterAutospacing="1"/>
              <w:rPr>
                <w:sz w:val="24"/>
                <w:szCs w:val="24"/>
              </w:rPr>
            </w:pPr>
            <w:r w:rsidRPr="00B63C97">
              <w:rPr>
                <w:sz w:val="24"/>
                <w:szCs w:val="24"/>
              </w:rPr>
              <w:t>CPI price inflation</w:t>
            </w:r>
          </w:p>
        </w:tc>
        <w:tc>
          <w:tcPr>
            <w:tcW w:w="4982" w:type="dxa"/>
            <w:shd w:val="clear" w:color="auto" w:fill="auto"/>
          </w:tcPr>
          <w:p w:rsidR="00B63C97" w:rsidRPr="00B63C97" w:rsidRDefault="00B63C97" w:rsidP="00563A61">
            <w:pPr>
              <w:pStyle w:val="TableText"/>
              <w:spacing w:before="100" w:beforeAutospacing="1" w:after="100" w:afterAutospacing="1"/>
              <w:rPr>
                <w:sz w:val="24"/>
                <w:szCs w:val="24"/>
              </w:rPr>
            </w:pPr>
            <w:r w:rsidRPr="00B63C97">
              <w:rPr>
                <w:sz w:val="24"/>
                <w:szCs w:val="24"/>
              </w:rPr>
              <w:t>2.6% p.a.</w:t>
            </w:r>
          </w:p>
        </w:tc>
      </w:tr>
      <w:tr w:rsidR="00B63C97" w:rsidRPr="009A05AB" w:rsidTr="00563A61">
        <w:trPr>
          <w:cantSplit/>
        </w:trPr>
        <w:tc>
          <w:tcPr>
            <w:tcW w:w="414" w:type="dxa"/>
            <w:shd w:val="clear" w:color="auto" w:fill="auto"/>
          </w:tcPr>
          <w:p w:rsidR="00B63C97" w:rsidRPr="00B63C97" w:rsidRDefault="00B63C97" w:rsidP="00563A61">
            <w:pPr>
              <w:pStyle w:val="TableText"/>
              <w:spacing w:before="100" w:beforeAutospacing="1" w:after="100" w:afterAutospacing="1"/>
              <w:rPr>
                <w:sz w:val="24"/>
                <w:szCs w:val="24"/>
              </w:rPr>
            </w:pPr>
          </w:p>
        </w:tc>
        <w:tc>
          <w:tcPr>
            <w:tcW w:w="4518" w:type="dxa"/>
            <w:shd w:val="clear" w:color="auto" w:fill="auto"/>
          </w:tcPr>
          <w:p w:rsidR="00B63C97" w:rsidRPr="00B63C97" w:rsidRDefault="00B63C97" w:rsidP="00563A61">
            <w:pPr>
              <w:pStyle w:val="TableText"/>
              <w:spacing w:before="100" w:beforeAutospacing="1" w:after="100" w:afterAutospacing="1"/>
              <w:rPr>
                <w:sz w:val="24"/>
                <w:szCs w:val="24"/>
              </w:rPr>
            </w:pPr>
            <w:r w:rsidRPr="00B63C97">
              <w:rPr>
                <w:sz w:val="24"/>
                <w:szCs w:val="24"/>
              </w:rPr>
              <w:t>Long Term Salary increases</w:t>
            </w:r>
          </w:p>
        </w:tc>
        <w:tc>
          <w:tcPr>
            <w:tcW w:w="4982" w:type="dxa"/>
            <w:shd w:val="clear" w:color="auto" w:fill="auto"/>
          </w:tcPr>
          <w:p w:rsidR="00B63C97" w:rsidRPr="00B63C97" w:rsidRDefault="00B63C97" w:rsidP="00563A61">
            <w:pPr>
              <w:pStyle w:val="TableText"/>
              <w:spacing w:before="100" w:beforeAutospacing="1" w:after="100" w:afterAutospacing="1"/>
              <w:rPr>
                <w:sz w:val="24"/>
                <w:szCs w:val="24"/>
              </w:rPr>
            </w:pPr>
            <w:r w:rsidRPr="00B63C97">
              <w:rPr>
                <w:sz w:val="24"/>
                <w:szCs w:val="24"/>
              </w:rPr>
              <w:t>4.1% p.a.</w:t>
            </w:r>
          </w:p>
        </w:tc>
      </w:tr>
      <w:tr w:rsidR="00B63C97" w:rsidRPr="009A05AB" w:rsidTr="00563A61">
        <w:trPr>
          <w:cantSplit/>
        </w:trPr>
        <w:tc>
          <w:tcPr>
            <w:tcW w:w="414" w:type="dxa"/>
            <w:shd w:val="clear" w:color="auto" w:fill="auto"/>
          </w:tcPr>
          <w:p w:rsidR="00B63C97" w:rsidRPr="00B63C97" w:rsidRDefault="00B63C97" w:rsidP="00563A61">
            <w:pPr>
              <w:pStyle w:val="TableText"/>
              <w:spacing w:before="100" w:beforeAutospacing="1" w:after="100" w:afterAutospacing="1"/>
              <w:rPr>
                <w:sz w:val="24"/>
                <w:szCs w:val="24"/>
              </w:rPr>
            </w:pPr>
          </w:p>
        </w:tc>
        <w:tc>
          <w:tcPr>
            <w:tcW w:w="4518" w:type="dxa"/>
            <w:shd w:val="clear" w:color="auto" w:fill="auto"/>
          </w:tcPr>
          <w:p w:rsidR="00B63C97" w:rsidRPr="00B63C97" w:rsidRDefault="00B63C97" w:rsidP="00563A61">
            <w:pPr>
              <w:pStyle w:val="TableText"/>
              <w:spacing w:before="100" w:beforeAutospacing="1" w:after="100" w:afterAutospacing="1"/>
              <w:rPr>
                <w:sz w:val="24"/>
                <w:szCs w:val="24"/>
              </w:rPr>
            </w:pPr>
            <w:r w:rsidRPr="00B63C97">
              <w:rPr>
                <w:sz w:val="24"/>
                <w:szCs w:val="24"/>
              </w:rPr>
              <w:t>Pension increases/indexation of CARE benefits</w:t>
            </w:r>
          </w:p>
        </w:tc>
        <w:tc>
          <w:tcPr>
            <w:tcW w:w="4982" w:type="dxa"/>
            <w:shd w:val="clear" w:color="auto" w:fill="auto"/>
          </w:tcPr>
          <w:p w:rsidR="00B63C97" w:rsidRPr="00B63C97" w:rsidRDefault="00B63C97" w:rsidP="00563A61">
            <w:pPr>
              <w:pStyle w:val="TableText"/>
              <w:spacing w:before="100" w:beforeAutospacing="1" w:after="100" w:afterAutospacing="1"/>
              <w:rPr>
                <w:sz w:val="24"/>
                <w:szCs w:val="24"/>
              </w:rPr>
            </w:pPr>
            <w:r w:rsidRPr="00B63C97">
              <w:rPr>
                <w:sz w:val="24"/>
                <w:szCs w:val="24"/>
              </w:rPr>
              <w:t>2.6% p.a.</w:t>
            </w:r>
          </w:p>
        </w:tc>
      </w:tr>
    </w:tbl>
    <w:p w:rsidR="00B63C97" w:rsidRDefault="00B63C97" w:rsidP="00B63C97">
      <w:pPr>
        <w:spacing w:after="0"/>
        <w:jc w:val="left"/>
        <w:rPr>
          <w:rFonts w:ascii="TT1915Ao00" w:eastAsia="Cambria" w:hAnsi="TT1915Ao00" w:cs="TT1915Ao00"/>
          <w:color w:val="000000" w:themeColor="text1"/>
          <w:lang w:eastAsia="en-GB"/>
        </w:rPr>
      </w:pPr>
    </w:p>
    <w:p w:rsidR="00B63C97" w:rsidRPr="00B63C97" w:rsidRDefault="00B63C97" w:rsidP="00B63C97">
      <w:pPr>
        <w:pStyle w:val="Heading5"/>
        <w:spacing w:before="0"/>
        <w:rPr>
          <w:i w:val="0"/>
          <w:sz w:val="24"/>
          <w:szCs w:val="24"/>
        </w:rPr>
      </w:pPr>
      <w:r w:rsidRPr="00B63C97">
        <w:rPr>
          <w:i w:val="0"/>
          <w:sz w:val="24"/>
          <w:szCs w:val="24"/>
        </w:rPr>
        <w:t>Demographic assumptions</w:t>
      </w:r>
    </w:p>
    <w:p w:rsidR="00B63C97" w:rsidRPr="00CD1FE4" w:rsidRDefault="00B63C97" w:rsidP="00B63C97">
      <w:r w:rsidRPr="009F1287">
        <w:rPr>
          <w:rFonts w:cs="Arial"/>
        </w:rPr>
        <w:t xml:space="preserve">The </w:t>
      </w:r>
      <w:r>
        <w:rPr>
          <w:rFonts w:cs="Arial"/>
        </w:rPr>
        <w:t xml:space="preserve">post retirement </w:t>
      </w:r>
      <w:r w:rsidRPr="009F1287">
        <w:rPr>
          <w:rFonts w:cs="Arial"/>
        </w:rPr>
        <w:t>mortality tables adopted for this valuation are as follows:</w:t>
      </w:r>
    </w:p>
    <w:p w:rsidR="00B63C97" w:rsidRDefault="00B63C97" w:rsidP="00B63C97">
      <w:pPr>
        <w:pStyle w:val="Heading3"/>
        <w:numPr>
          <w:ilvl w:val="2"/>
          <w:numId w:val="0"/>
        </w:numPr>
        <w:tabs>
          <w:tab w:val="num" w:pos="0"/>
        </w:tabs>
        <w:rPr>
          <w:color w:val="002E63"/>
          <w:sz w:val="22"/>
          <w:szCs w:val="20"/>
        </w:rPr>
      </w:pPr>
    </w:p>
    <w:p w:rsidR="00B63C97" w:rsidRDefault="00414BF8" w:rsidP="00B63C97">
      <w:r>
        <w:rPr>
          <w:noProof/>
          <w:lang w:eastAsia="en-GB"/>
        </w:rPr>
        <w:drawing>
          <wp:inline distT="0" distB="0" distL="0" distR="0">
            <wp:extent cx="6295604" cy="21355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l="21483" t="26252" r="6052" b="45491"/>
                    <a:stretch/>
                  </pic:blipFill>
                  <pic:spPr bwMode="auto">
                    <a:xfrm>
                      <a:off x="0" y="0"/>
                      <a:ext cx="6300838" cy="21373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63C97" w:rsidRPr="00B63C97" w:rsidRDefault="00B63C97" w:rsidP="00B63C97">
      <w:pPr>
        <w:pStyle w:val="Heading3"/>
        <w:numPr>
          <w:ilvl w:val="2"/>
          <w:numId w:val="0"/>
        </w:numPr>
        <w:tabs>
          <w:tab w:val="num" w:pos="0"/>
        </w:tabs>
        <w:rPr>
          <w:i w:val="0"/>
          <w:sz w:val="24"/>
          <w:szCs w:val="24"/>
        </w:rPr>
      </w:pPr>
      <w:r w:rsidRPr="00B63C97">
        <w:rPr>
          <w:i w:val="0"/>
          <w:sz w:val="24"/>
          <w:szCs w:val="24"/>
        </w:rPr>
        <w:t>Other demograp</w:t>
      </w:r>
      <w:r>
        <w:rPr>
          <w:i w:val="0"/>
          <w:sz w:val="24"/>
          <w:szCs w:val="24"/>
        </w:rPr>
        <w:t>hic assumptions are noted below</w:t>
      </w:r>
    </w:p>
    <w:tbl>
      <w:tblPr>
        <w:tblStyle w:val="TableGrid"/>
        <w:tblpPr w:leftFromText="180" w:rightFromText="180" w:vertAnchor="text" w:horzAnchor="margin" w:tblpY="197"/>
        <w:tblW w:w="0" w:type="auto"/>
        <w:tblBorders>
          <w:left w:val="none" w:sz="0" w:space="0" w:color="auto"/>
          <w:right w:val="none" w:sz="0" w:space="0" w:color="auto"/>
          <w:insideV w:val="none" w:sz="0" w:space="0" w:color="auto"/>
        </w:tblBorders>
        <w:tblCellMar>
          <w:left w:w="72" w:type="dxa"/>
          <w:right w:w="72" w:type="dxa"/>
        </w:tblCellMar>
        <w:tblLook w:val="01E0"/>
      </w:tblPr>
      <w:tblGrid>
        <w:gridCol w:w="4583"/>
        <w:gridCol w:w="4581"/>
      </w:tblGrid>
      <w:tr w:rsidR="00B63C97" w:rsidTr="00563A61">
        <w:trPr>
          <w:cantSplit/>
        </w:trPr>
        <w:tc>
          <w:tcPr>
            <w:tcW w:w="4606" w:type="dxa"/>
            <w:shd w:val="clear" w:color="auto" w:fill="auto"/>
          </w:tcPr>
          <w:p w:rsidR="00B63C97" w:rsidRPr="009F1287" w:rsidRDefault="00B63C97" w:rsidP="00563A61">
            <w:pPr>
              <w:rPr>
                <w:rFonts w:cs="Arial"/>
              </w:rPr>
            </w:pPr>
            <w:r w:rsidRPr="009F1287">
              <w:rPr>
                <w:rFonts w:cs="Arial"/>
              </w:rPr>
              <w:t xml:space="preserve">Withdrawal </w:t>
            </w:r>
          </w:p>
        </w:tc>
        <w:tc>
          <w:tcPr>
            <w:tcW w:w="4607" w:type="dxa"/>
            <w:shd w:val="clear" w:color="auto" w:fill="auto"/>
          </w:tcPr>
          <w:p w:rsidR="00B63C97" w:rsidRPr="009F1287" w:rsidRDefault="00B63C97" w:rsidP="00563A61">
            <w:pPr>
              <w:rPr>
                <w:rFonts w:cs="Arial"/>
              </w:rPr>
            </w:pPr>
            <w:r w:rsidRPr="009F1287">
              <w:rPr>
                <w:rFonts w:cs="Arial"/>
              </w:rPr>
              <w:t>As for 20</w:t>
            </w:r>
            <w:r>
              <w:rPr>
                <w:rFonts w:cs="Arial"/>
              </w:rPr>
              <w:t>10</w:t>
            </w:r>
            <w:r w:rsidRPr="009F1287">
              <w:rPr>
                <w:rFonts w:cs="Arial"/>
              </w:rPr>
              <w:t xml:space="preserve"> valuation</w:t>
            </w:r>
          </w:p>
        </w:tc>
      </w:tr>
      <w:tr w:rsidR="00B63C97" w:rsidTr="00563A61">
        <w:trPr>
          <w:cantSplit/>
        </w:trPr>
        <w:tc>
          <w:tcPr>
            <w:tcW w:w="4606" w:type="dxa"/>
            <w:shd w:val="clear" w:color="auto" w:fill="auto"/>
          </w:tcPr>
          <w:p w:rsidR="00B63C97" w:rsidRPr="009F1287" w:rsidRDefault="00B63C97" w:rsidP="00563A61">
            <w:pPr>
              <w:rPr>
                <w:rFonts w:cs="Arial"/>
              </w:rPr>
            </w:pPr>
            <w:r w:rsidRPr="009F1287">
              <w:rPr>
                <w:rFonts w:cs="Arial"/>
              </w:rPr>
              <w:t xml:space="preserve">Other demographics </w:t>
            </w:r>
          </w:p>
          <w:p w:rsidR="00B63C97" w:rsidRPr="009F1287" w:rsidRDefault="00B63C97" w:rsidP="00563A61">
            <w:pPr>
              <w:rPr>
                <w:rFonts w:cs="Arial"/>
              </w:rPr>
            </w:pPr>
          </w:p>
        </w:tc>
        <w:tc>
          <w:tcPr>
            <w:tcW w:w="4607" w:type="dxa"/>
            <w:shd w:val="clear" w:color="auto" w:fill="auto"/>
          </w:tcPr>
          <w:p w:rsidR="00B63C97" w:rsidRPr="009F1287" w:rsidRDefault="00B63C97" w:rsidP="00563A61">
            <w:pPr>
              <w:rPr>
                <w:rFonts w:cs="Arial"/>
              </w:rPr>
            </w:pPr>
            <w:r w:rsidRPr="009F1287">
              <w:rPr>
                <w:rFonts w:cs="Arial"/>
              </w:rPr>
              <w:t>Based on LG scheme specific experience.</w:t>
            </w:r>
          </w:p>
        </w:tc>
      </w:tr>
      <w:tr w:rsidR="00B63C97" w:rsidTr="00563A61">
        <w:trPr>
          <w:cantSplit/>
        </w:trPr>
        <w:tc>
          <w:tcPr>
            <w:tcW w:w="4606" w:type="dxa"/>
            <w:shd w:val="clear" w:color="auto" w:fill="auto"/>
          </w:tcPr>
          <w:p w:rsidR="00B63C97" w:rsidRPr="009F1287" w:rsidRDefault="00B63C97" w:rsidP="00563A61">
            <w:pPr>
              <w:rPr>
                <w:rFonts w:cs="Arial"/>
              </w:rPr>
            </w:pPr>
            <w:r>
              <w:rPr>
                <w:rFonts w:cs="Arial"/>
              </w:rPr>
              <w:t>50:50 Option</w:t>
            </w:r>
          </w:p>
        </w:tc>
        <w:tc>
          <w:tcPr>
            <w:tcW w:w="4607" w:type="dxa"/>
            <w:shd w:val="clear" w:color="auto" w:fill="auto"/>
          </w:tcPr>
          <w:p w:rsidR="00B63C97" w:rsidRPr="009F1287" w:rsidRDefault="005E69B0" w:rsidP="00563A61">
            <w:pPr>
              <w:rPr>
                <w:rFonts w:cs="Arial"/>
              </w:rPr>
            </w:pPr>
            <w:r>
              <w:rPr>
                <w:rFonts w:cs="Arial"/>
              </w:rPr>
              <w:t>Allowance for certain employers</w:t>
            </w:r>
          </w:p>
        </w:tc>
      </w:tr>
    </w:tbl>
    <w:p w:rsidR="00E4638B" w:rsidRPr="001F679F" w:rsidRDefault="00E4638B" w:rsidP="00612C1F">
      <w:pPr>
        <w:spacing w:after="0"/>
        <w:jc w:val="left"/>
        <w:rPr>
          <w:rFonts w:ascii="TT1915Ao00" w:eastAsia="Cambria" w:hAnsi="TT1915Ao00" w:cs="TT1915Ao00"/>
          <w:color w:val="auto"/>
          <w:lang w:eastAsia="en-GB"/>
        </w:rPr>
      </w:pPr>
    </w:p>
    <w:p w:rsidR="00AE0D12" w:rsidRPr="001F679F" w:rsidRDefault="00AE0D12">
      <w:pPr>
        <w:autoSpaceDE/>
        <w:autoSpaceDN/>
        <w:adjustRightInd/>
        <w:spacing w:after="0"/>
        <w:jc w:val="left"/>
        <w:rPr>
          <w:rFonts w:ascii="TT1915Ao00" w:eastAsia="Cambria" w:hAnsi="TT1915Ao00" w:cs="TT1915Ao00"/>
          <w:color w:val="auto"/>
          <w:lang w:eastAsia="en-GB"/>
        </w:rPr>
      </w:pPr>
      <w:r w:rsidRPr="001F679F">
        <w:rPr>
          <w:rFonts w:ascii="TT1915Ao00" w:eastAsia="Cambria" w:hAnsi="TT1915Ao00" w:cs="TT1915Ao00"/>
          <w:color w:val="auto"/>
          <w:lang w:eastAsia="en-GB"/>
        </w:rPr>
        <w:br w:type="page"/>
      </w:r>
    </w:p>
    <w:p w:rsidR="00B63C97" w:rsidRPr="00B63C97" w:rsidRDefault="00B63C97" w:rsidP="00B63C97">
      <w:pPr>
        <w:spacing w:after="0"/>
        <w:jc w:val="left"/>
        <w:rPr>
          <w:rFonts w:ascii="TT1915Ao00" w:eastAsia="Cambria" w:hAnsi="TT1915Ao00" w:cs="TT1915Ao00"/>
          <w:b/>
          <w:color w:val="000000" w:themeColor="text1"/>
          <w:lang w:eastAsia="en-GB"/>
        </w:rPr>
      </w:pPr>
      <w:r w:rsidRPr="00B63C97">
        <w:rPr>
          <w:rFonts w:ascii="TT1915Ao00" w:eastAsia="Cambria" w:hAnsi="TT1915Ao00" w:cs="TT1915Ao00"/>
          <w:b/>
          <w:color w:val="000000" w:themeColor="text1"/>
          <w:lang w:eastAsia="en-GB"/>
        </w:rPr>
        <w:lastRenderedPageBreak/>
        <w:t>Assumptions used in calculating contributions payable under the recovery plan</w:t>
      </w:r>
    </w:p>
    <w:p w:rsidR="00B63C97" w:rsidRPr="00B63C97" w:rsidRDefault="00B63C97" w:rsidP="00B63C97">
      <w:pPr>
        <w:spacing w:after="0"/>
        <w:jc w:val="left"/>
        <w:rPr>
          <w:rFonts w:ascii="TT1915Do00" w:eastAsia="Cambria" w:hAnsi="TT1915Do00" w:cs="TT1915Do00"/>
          <w:color w:val="000000" w:themeColor="text1"/>
          <w:lang w:eastAsia="en-GB"/>
        </w:rPr>
      </w:pPr>
    </w:p>
    <w:p w:rsidR="00B63C97" w:rsidRPr="00B63C97" w:rsidRDefault="00B63C97" w:rsidP="00B63C97">
      <w:pPr>
        <w:spacing w:after="0"/>
        <w:jc w:val="left"/>
        <w:rPr>
          <w:rFonts w:ascii="TT1915Do00" w:eastAsia="Cambria" w:hAnsi="TT1915Do00" w:cs="TT1915Do00"/>
          <w:color w:val="000000" w:themeColor="text1"/>
          <w:lang w:eastAsia="en-GB"/>
        </w:rPr>
      </w:pPr>
      <w:r w:rsidRPr="00B63C97">
        <w:rPr>
          <w:rFonts w:ascii="TT1915Do00" w:eastAsia="Cambria" w:hAnsi="TT1915Do00" w:cs="TT1915Do00"/>
          <w:color w:val="000000" w:themeColor="text1"/>
          <w:lang w:eastAsia="en-GB"/>
        </w:rPr>
        <w:t xml:space="preserve">The contributions payable under the recovery plan are calculated using the same assumptions as those used to calculate the funding target, with the exception that, for certain employers which are considered by the Administering Authority to provide a high level of financial covenant and are required to increase contributions </w:t>
      </w:r>
      <w:bookmarkStart w:id="2" w:name="_GoBack"/>
      <w:bookmarkEnd w:id="2"/>
      <w:r w:rsidRPr="00B63C97">
        <w:rPr>
          <w:rFonts w:ascii="TT1915Do00" w:eastAsia="Cambria" w:hAnsi="TT1915Do00" w:cs="TT1915Do00"/>
          <w:color w:val="000000" w:themeColor="text1"/>
          <w:lang w:eastAsia="en-GB"/>
        </w:rPr>
        <w:t xml:space="preserve">(compared to the 2014/15 levels that would have been payable under the previous funding plan), an allowance may be made as part of the recovery plan for interest rates and bond yields to revert to higher levels over a period of </w:t>
      </w:r>
      <w:r>
        <w:rPr>
          <w:rFonts w:ascii="TT1915Do00" w:eastAsia="Cambria" w:hAnsi="TT1915Do00" w:cs="TT1915Do00"/>
          <w:color w:val="000000" w:themeColor="text1"/>
          <w:lang w:eastAsia="en-GB"/>
        </w:rPr>
        <w:t>5</w:t>
      </w:r>
      <w:r w:rsidRPr="00B63C97">
        <w:rPr>
          <w:rFonts w:ascii="TT1915Do00" w:eastAsia="Cambria" w:hAnsi="TT1915Do00" w:cs="TT1915Do00"/>
          <w:color w:val="000000" w:themeColor="text1"/>
          <w:lang w:eastAsia="en-GB"/>
        </w:rPr>
        <w:t xml:space="preserve"> years.   </w:t>
      </w:r>
    </w:p>
    <w:p w:rsidR="00B63C97" w:rsidRPr="00B63C97" w:rsidRDefault="00B63C97" w:rsidP="00B63C97">
      <w:pPr>
        <w:spacing w:after="0"/>
        <w:jc w:val="left"/>
        <w:rPr>
          <w:rFonts w:ascii="TT1915Do00" w:eastAsia="Cambria" w:hAnsi="TT1915Do00" w:cs="TT1915Do00"/>
          <w:color w:val="000000" w:themeColor="text1"/>
          <w:lang w:eastAsia="en-GB"/>
        </w:rPr>
      </w:pPr>
    </w:p>
    <w:p w:rsidR="00B63C97" w:rsidRPr="00B63C97" w:rsidRDefault="00B63C97" w:rsidP="00B63C97">
      <w:pPr>
        <w:spacing w:after="0"/>
        <w:jc w:val="left"/>
        <w:rPr>
          <w:rFonts w:ascii="TT1915Do00" w:eastAsia="Cambria" w:hAnsi="TT1915Do00" w:cs="TT1915Do00"/>
          <w:color w:val="000000" w:themeColor="text1"/>
          <w:lang w:eastAsia="en-GB"/>
        </w:rPr>
      </w:pPr>
      <w:r w:rsidRPr="00B63C97">
        <w:rPr>
          <w:rFonts w:ascii="TT1915Do00" w:eastAsia="Cambria" w:hAnsi="TT1915Do00" w:cs="TT1915Do00"/>
          <w:color w:val="000000" w:themeColor="text1"/>
          <w:lang w:eastAsia="en-GB"/>
        </w:rPr>
        <w:t>In isolation, the effect of this increase in yields is to reduce the funding deficit by primarily lowering the value of the fund’s liabilities over time, thus reducing the level of deficit contributions required by the employer during the recovery period.</w:t>
      </w:r>
    </w:p>
    <w:p w:rsidR="00B63C97" w:rsidRDefault="00B63C97" w:rsidP="00B63C97">
      <w:pPr>
        <w:spacing w:after="0"/>
        <w:jc w:val="left"/>
        <w:rPr>
          <w:rFonts w:ascii="TT1915Do00" w:eastAsia="Cambria" w:hAnsi="TT1915Do00" w:cs="TT1915Do00"/>
          <w:color w:val="000000" w:themeColor="text1"/>
          <w:lang w:eastAsia="en-GB"/>
        </w:rPr>
      </w:pPr>
    </w:p>
    <w:p w:rsidR="00B63C97" w:rsidRDefault="00B63C97" w:rsidP="00B63C97">
      <w:pPr>
        <w:spacing w:after="0"/>
        <w:jc w:val="left"/>
        <w:rPr>
          <w:rFonts w:ascii="TT1915Do00" w:eastAsia="Cambria" w:hAnsi="TT1915Do00" w:cs="TT1915Do00"/>
          <w:b/>
          <w:color w:val="000000" w:themeColor="text1"/>
          <w:lang w:eastAsia="en-GB"/>
        </w:rPr>
      </w:pPr>
      <w:r w:rsidRPr="00B63C97">
        <w:rPr>
          <w:rFonts w:ascii="TT1915Do00" w:eastAsia="Cambria" w:hAnsi="TT1915Do00" w:cs="TT1915Do00"/>
          <w:b/>
          <w:color w:val="000000" w:themeColor="text1"/>
          <w:lang w:eastAsia="en-GB"/>
        </w:rPr>
        <w:t xml:space="preserve">Increases in yields on fixed and index linked gilts </w:t>
      </w:r>
    </w:p>
    <w:p w:rsidR="00B63C97" w:rsidRPr="00B63C97" w:rsidRDefault="00B63C97" w:rsidP="00B63C97">
      <w:pPr>
        <w:spacing w:after="0"/>
        <w:jc w:val="left"/>
        <w:rPr>
          <w:rFonts w:ascii="TT1915Do00" w:eastAsia="Cambria" w:hAnsi="TT1915Do00" w:cs="TT1915Do00"/>
          <w:b/>
          <w:color w:val="000000" w:themeColor="text1"/>
          <w:lang w:eastAsia="en-GB"/>
        </w:rPr>
      </w:pPr>
    </w:p>
    <w:p w:rsidR="00B63C97" w:rsidRPr="00B63C97" w:rsidRDefault="00AE0D12" w:rsidP="00B63C97">
      <w:pPr>
        <w:spacing w:after="0"/>
        <w:jc w:val="left"/>
        <w:rPr>
          <w:rFonts w:ascii="TT1915Do00" w:eastAsia="Cambria" w:hAnsi="TT1915Do00" w:cs="TT1915Do00"/>
          <w:color w:val="000000" w:themeColor="text1"/>
          <w:lang w:eastAsia="en-GB"/>
        </w:rPr>
      </w:pPr>
      <w:r>
        <w:rPr>
          <w:rFonts w:ascii="TT1915Do00" w:eastAsia="Cambria" w:hAnsi="TT1915Do00" w:cs="TT1915Do00"/>
          <w:color w:val="000000" w:themeColor="text1"/>
          <w:lang w:eastAsia="en-GB"/>
        </w:rPr>
        <w:t xml:space="preserve">The impact of </w:t>
      </w:r>
      <w:r w:rsidR="00C13417">
        <w:rPr>
          <w:rFonts w:ascii="TT1915Do00" w:eastAsia="Cambria" w:hAnsi="TT1915Do00" w:cs="TT1915Do00"/>
          <w:color w:val="000000" w:themeColor="text1"/>
          <w:lang w:eastAsia="en-GB"/>
        </w:rPr>
        <w:t xml:space="preserve">the assumed </w:t>
      </w:r>
      <w:r>
        <w:rPr>
          <w:rFonts w:ascii="TT1915Do00" w:eastAsia="Cambria" w:hAnsi="TT1915Do00" w:cs="TT1915Do00"/>
          <w:color w:val="000000" w:themeColor="text1"/>
          <w:lang w:eastAsia="en-GB"/>
        </w:rPr>
        <w:t xml:space="preserve">yield reversion described above is </w:t>
      </w:r>
      <w:r w:rsidR="00C13417">
        <w:rPr>
          <w:rFonts w:ascii="TT1915Do00" w:eastAsia="Cambria" w:hAnsi="TT1915Do00" w:cs="TT1915Do00"/>
          <w:color w:val="000000" w:themeColor="text1"/>
          <w:lang w:eastAsia="en-GB"/>
        </w:rPr>
        <w:t xml:space="preserve">taken to be </w:t>
      </w:r>
      <w:r>
        <w:rPr>
          <w:rFonts w:ascii="TT1915Do00" w:eastAsia="Cambria" w:hAnsi="TT1915Do00" w:cs="TT1915Do00"/>
          <w:color w:val="000000" w:themeColor="text1"/>
          <w:lang w:eastAsia="en-GB"/>
        </w:rPr>
        <w:t xml:space="preserve">equivalent to an immediate increase in </w:t>
      </w:r>
      <w:r w:rsidRPr="00B63C97">
        <w:rPr>
          <w:rFonts w:ascii="TT1915Do00" w:eastAsia="Cambria" w:hAnsi="TT1915Do00" w:cs="TT1915Do00"/>
          <w:color w:val="000000" w:themeColor="text1"/>
          <w:lang w:eastAsia="en-GB"/>
        </w:rPr>
        <w:t xml:space="preserve">fixed and index linked gilt yields </w:t>
      </w:r>
      <w:r>
        <w:rPr>
          <w:rFonts w:ascii="TT1915Do00" w:eastAsia="Cambria" w:hAnsi="TT1915Do00" w:cs="TT1915Do00"/>
          <w:color w:val="000000" w:themeColor="text1"/>
          <w:lang w:eastAsia="en-GB"/>
        </w:rPr>
        <w:t xml:space="preserve">of </w:t>
      </w:r>
      <w:r w:rsidR="00C13417">
        <w:rPr>
          <w:rFonts w:ascii="TT1915Do00" w:eastAsia="Cambria" w:hAnsi="TT1915Do00" w:cs="TT1915Do00"/>
          <w:color w:val="000000" w:themeColor="text1"/>
          <w:lang w:eastAsia="en-GB"/>
        </w:rPr>
        <w:t xml:space="preserve">up to </w:t>
      </w:r>
      <w:r w:rsidR="00B63C97" w:rsidRPr="00B63C97">
        <w:rPr>
          <w:rFonts w:ascii="TT1915Do00" w:eastAsia="Cambria" w:hAnsi="TT1915Do00" w:cs="TT1915Do00"/>
          <w:color w:val="000000" w:themeColor="text1"/>
          <w:lang w:eastAsia="en-GB"/>
        </w:rPr>
        <w:t>0.</w:t>
      </w:r>
      <w:r w:rsidR="00B63C97">
        <w:rPr>
          <w:rFonts w:ascii="TT1915Do00" w:eastAsia="Cambria" w:hAnsi="TT1915Do00" w:cs="TT1915Do00"/>
          <w:color w:val="000000" w:themeColor="text1"/>
          <w:lang w:eastAsia="en-GB"/>
        </w:rPr>
        <w:t>5</w:t>
      </w:r>
      <w:r w:rsidR="00B63C97" w:rsidRPr="00B63C97">
        <w:rPr>
          <w:rFonts w:ascii="TT1915Do00" w:eastAsia="Cambria" w:hAnsi="TT1915Do00" w:cs="TT1915Do00"/>
          <w:color w:val="000000" w:themeColor="text1"/>
          <w:lang w:eastAsia="en-GB"/>
        </w:rPr>
        <w:t xml:space="preserve">% p.a. </w:t>
      </w:r>
    </w:p>
    <w:p w:rsidR="00B63C97" w:rsidRDefault="00B63C97" w:rsidP="00B63C97">
      <w:pPr>
        <w:spacing w:after="0"/>
        <w:jc w:val="left"/>
        <w:rPr>
          <w:rFonts w:ascii="TT1915Do00" w:eastAsia="Cambria" w:hAnsi="TT1915Do00" w:cs="TT1915Do00"/>
          <w:color w:val="000000" w:themeColor="text1"/>
          <w:lang w:eastAsia="en-GB"/>
        </w:rPr>
      </w:pPr>
    </w:p>
    <w:p w:rsidR="00B63C97" w:rsidRPr="00B63C97" w:rsidRDefault="00B63C97" w:rsidP="00B63C97">
      <w:pPr>
        <w:spacing w:after="0"/>
        <w:jc w:val="left"/>
        <w:rPr>
          <w:rFonts w:ascii="TT1915Do00" w:eastAsia="Cambria" w:hAnsi="TT1915Do00" w:cs="TT1915Do00"/>
          <w:color w:val="000000" w:themeColor="text1"/>
          <w:lang w:eastAsia="en-GB"/>
        </w:rPr>
      </w:pPr>
      <w:r w:rsidRPr="00B63C97">
        <w:rPr>
          <w:rFonts w:ascii="TT1915Do00" w:eastAsia="Cambria" w:hAnsi="TT1915Do00" w:cs="TT1915Do00"/>
          <w:color w:val="000000" w:themeColor="text1"/>
          <w:lang w:eastAsia="en-GB"/>
        </w:rPr>
        <w:t>As indicated above, this variation to the assumptions in relation to the recovery plan can only be applied for those employers which the Administering Authority deems to be of sufficiently high financial covenant to support the anticipation of increased gilt yields over the entire duration of the recovery period. No such variation in the assumptions will apply in any case to any employer which does not have a funding deficit at the valuation (and therefore for which no recovery plan is applicable). Where a funding deficit exists the impact of the anticipated increases in gilt yields will be limited so that the total employer contributions emerging from the valuation will be no less the 2014/15 levels that would have been payable under the previous funding plan.</w:t>
      </w:r>
    </w:p>
    <w:p w:rsidR="00B63C97" w:rsidRPr="001F679F" w:rsidRDefault="00B63C97" w:rsidP="00612C1F">
      <w:pPr>
        <w:spacing w:after="0"/>
        <w:jc w:val="left"/>
        <w:rPr>
          <w:rFonts w:ascii="TT1915Ao00" w:eastAsia="Cambria" w:hAnsi="TT1915Ao00" w:cs="TT1915Ao00"/>
          <w:color w:val="auto"/>
          <w:lang w:eastAsia="en-GB"/>
        </w:rPr>
      </w:pPr>
    </w:p>
    <w:p w:rsidR="00E4638B" w:rsidRPr="001F679F" w:rsidRDefault="00E4638B">
      <w:pPr>
        <w:autoSpaceDE/>
        <w:autoSpaceDN/>
        <w:adjustRightInd/>
        <w:spacing w:after="0"/>
        <w:jc w:val="left"/>
        <w:rPr>
          <w:rFonts w:ascii="TT1915Ao00" w:eastAsia="Cambria" w:hAnsi="TT1915Ao00" w:cs="TT1915Ao00"/>
          <w:color w:val="auto"/>
          <w:lang w:eastAsia="en-GB"/>
        </w:rPr>
      </w:pPr>
      <w:r w:rsidRPr="001F679F">
        <w:rPr>
          <w:rFonts w:ascii="TT1915Ao00" w:eastAsia="Cambria" w:hAnsi="TT1915Ao00" w:cs="TT1915Ao00"/>
          <w:color w:val="auto"/>
          <w:lang w:eastAsia="en-GB"/>
        </w:rPr>
        <w:br w:type="page"/>
      </w:r>
    </w:p>
    <w:p w:rsidR="00612C1F" w:rsidRPr="00025715" w:rsidRDefault="00612C1F" w:rsidP="00612C1F">
      <w:pPr>
        <w:spacing w:after="0"/>
        <w:jc w:val="left"/>
        <w:rPr>
          <w:rFonts w:ascii="TT1915Ao00" w:eastAsia="Cambria" w:hAnsi="TT1915Ao00" w:cs="TT1915Ao00"/>
          <w:b/>
          <w:color w:val="auto"/>
          <w:lang w:eastAsia="en-GB"/>
        </w:rPr>
      </w:pPr>
      <w:r w:rsidRPr="00025715">
        <w:rPr>
          <w:rFonts w:ascii="TT1915Ao00" w:eastAsia="Cambria" w:hAnsi="TT1915Ao00" w:cs="TT1915Ao00"/>
          <w:b/>
          <w:color w:val="auto"/>
          <w:lang w:eastAsia="en-GB"/>
        </w:rPr>
        <w:lastRenderedPageBreak/>
        <w:t>Annex 2</w:t>
      </w:r>
    </w:p>
    <w:p w:rsidR="00E4638B" w:rsidRPr="00025715" w:rsidRDefault="00E4638B" w:rsidP="00612C1F">
      <w:pPr>
        <w:spacing w:after="0"/>
        <w:jc w:val="left"/>
        <w:rPr>
          <w:rFonts w:ascii="TT1915Ao00" w:eastAsia="Cambria" w:hAnsi="TT1915Ao00" w:cs="TT1915Ao00"/>
          <w:b/>
          <w:color w:val="auto"/>
          <w:lang w:eastAsia="en-GB"/>
        </w:rPr>
      </w:pPr>
    </w:p>
    <w:p w:rsidR="00612C1F" w:rsidRPr="00025715" w:rsidRDefault="00612C1F" w:rsidP="00612C1F">
      <w:pPr>
        <w:spacing w:after="0"/>
        <w:jc w:val="left"/>
        <w:rPr>
          <w:rFonts w:ascii="TT1915Ao00" w:eastAsia="Cambria" w:hAnsi="TT1915Ao00" w:cs="TT1915Ao00"/>
          <w:b/>
          <w:color w:val="auto"/>
          <w:lang w:eastAsia="en-GB"/>
        </w:rPr>
      </w:pPr>
      <w:r w:rsidRPr="00025715">
        <w:rPr>
          <w:rFonts w:ascii="TT1915Ao00" w:eastAsia="Cambria" w:hAnsi="TT1915Ao00" w:cs="TT1915Ao00"/>
          <w:b/>
          <w:color w:val="auto"/>
          <w:lang w:eastAsia="en-GB"/>
        </w:rPr>
        <w:t>SIP INVESTMENT STRATEGY</w:t>
      </w:r>
    </w:p>
    <w:p w:rsidR="00025715" w:rsidRPr="00915BA9" w:rsidRDefault="00025715" w:rsidP="00612C1F">
      <w:pPr>
        <w:spacing w:after="0"/>
        <w:jc w:val="left"/>
        <w:rPr>
          <w:rFonts w:ascii="TT1915Do00" w:eastAsia="Cambria" w:hAnsi="TT1915Do00" w:cs="TT1915Do00"/>
          <w:color w:val="auto"/>
          <w:lang w:eastAsia="en-GB"/>
        </w:rPr>
      </w:pPr>
    </w:p>
    <w:p w:rsidR="00915BA9" w:rsidRPr="00915BA9" w:rsidRDefault="00612C1F" w:rsidP="00612C1F">
      <w:pPr>
        <w:spacing w:after="0"/>
        <w:jc w:val="left"/>
        <w:rPr>
          <w:rFonts w:ascii="TT1915Do00" w:eastAsia="Cambria" w:hAnsi="TT1915Do00" w:cs="TT1915Do00"/>
          <w:color w:val="auto"/>
          <w:lang w:eastAsia="en-GB"/>
        </w:rPr>
      </w:pPr>
      <w:r w:rsidRPr="00915BA9">
        <w:rPr>
          <w:rFonts w:ascii="TT1915Do00" w:eastAsia="Cambria" w:hAnsi="TT1915Do00" w:cs="TT1915Do00"/>
          <w:color w:val="auto"/>
          <w:lang w:eastAsia="en-GB"/>
        </w:rPr>
        <w:t xml:space="preserve">The </w:t>
      </w:r>
      <w:r w:rsidR="00915BA9" w:rsidRPr="00915BA9">
        <w:rPr>
          <w:rFonts w:ascii="TT1915Do00" w:eastAsia="Cambria" w:hAnsi="TT1915Do00" w:cs="TT1915Do00"/>
          <w:color w:val="auto"/>
          <w:lang w:eastAsia="en-GB"/>
        </w:rPr>
        <w:t xml:space="preserve">current </w:t>
      </w:r>
      <w:r w:rsidRPr="00915BA9">
        <w:rPr>
          <w:rFonts w:ascii="TT1915Do00" w:eastAsia="Cambria" w:hAnsi="TT1915Do00" w:cs="TT1915Do00"/>
          <w:color w:val="auto"/>
          <w:lang w:eastAsia="en-GB"/>
        </w:rPr>
        <w:t xml:space="preserve">investment strategy </w:t>
      </w:r>
      <w:r w:rsidR="00915BA9" w:rsidRPr="00915BA9">
        <w:rPr>
          <w:rFonts w:ascii="TT1915Do00" w:eastAsia="Cambria" w:hAnsi="TT1915Do00" w:cs="TT1915Do00"/>
          <w:color w:val="auto"/>
          <w:lang w:eastAsia="en-GB"/>
        </w:rPr>
        <w:t>may be revised in light of the latest actuarial valuation, but will largely follow the same direction set out when the strategy was significantly overhauled in 2010.</w:t>
      </w:r>
    </w:p>
    <w:p w:rsidR="00915BA9" w:rsidRPr="00915BA9" w:rsidRDefault="00915BA9" w:rsidP="00612C1F">
      <w:pPr>
        <w:spacing w:after="0"/>
        <w:jc w:val="left"/>
        <w:rPr>
          <w:rFonts w:ascii="TT1915Do00" w:eastAsia="Cambria" w:hAnsi="TT1915Do00" w:cs="TT1915Do00"/>
          <w:color w:val="auto"/>
          <w:lang w:eastAsia="en-GB"/>
        </w:rPr>
      </w:pPr>
    </w:p>
    <w:p w:rsidR="00612C1F" w:rsidRPr="00915BA9" w:rsidRDefault="00915BA9" w:rsidP="00612C1F">
      <w:pPr>
        <w:spacing w:after="0"/>
        <w:jc w:val="left"/>
        <w:rPr>
          <w:rFonts w:ascii="TT1915Do00" w:eastAsia="Cambria" w:hAnsi="TT1915Do00" w:cs="TT1915Do00"/>
          <w:color w:val="auto"/>
          <w:lang w:eastAsia="en-GB"/>
        </w:rPr>
      </w:pPr>
      <w:r w:rsidRPr="00915BA9">
        <w:rPr>
          <w:rFonts w:ascii="TT1915Do00" w:eastAsia="Cambria" w:hAnsi="TT1915Do00" w:cs="TT1915Do00"/>
          <w:color w:val="auto"/>
          <w:lang w:eastAsia="en-GB"/>
        </w:rPr>
        <w:t>In addition, t</w:t>
      </w:r>
      <w:r w:rsidR="00612C1F" w:rsidRPr="00915BA9">
        <w:rPr>
          <w:rFonts w:ascii="TT1915Do00" w:eastAsia="Cambria" w:hAnsi="TT1915Do00" w:cs="TT1915Do00"/>
          <w:color w:val="auto"/>
          <w:lang w:eastAsia="en-GB"/>
        </w:rPr>
        <w:t>he Investment Panel has had approval to dynamically manage</w:t>
      </w:r>
      <w:r w:rsidR="00E4638B" w:rsidRPr="00915BA9">
        <w:rPr>
          <w:rFonts w:ascii="TT1915Do00" w:eastAsia="Cambria" w:hAnsi="TT1915Do00" w:cs="TT1915Do00"/>
          <w:color w:val="auto"/>
          <w:lang w:eastAsia="en-GB"/>
        </w:rPr>
        <w:t xml:space="preserve"> </w:t>
      </w:r>
      <w:r w:rsidR="00612C1F" w:rsidRPr="00915BA9">
        <w:rPr>
          <w:rFonts w:ascii="TT1915Do00" w:eastAsia="Cambria" w:hAnsi="TT1915Do00" w:cs="TT1915Do00"/>
          <w:color w:val="auto"/>
          <w:lang w:eastAsia="en-GB"/>
        </w:rPr>
        <w:t>the Fund's interest and inflation rate exposure and the Fund's longevity risk.</w:t>
      </w:r>
    </w:p>
    <w:p w:rsidR="00E4638B" w:rsidRPr="00915BA9" w:rsidRDefault="00E4638B" w:rsidP="00612C1F">
      <w:pPr>
        <w:spacing w:after="0"/>
        <w:jc w:val="left"/>
        <w:rPr>
          <w:rFonts w:ascii="TT1915Do00" w:eastAsia="Cambria" w:hAnsi="TT1915Do00" w:cs="TT1915Do00"/>
          <w:color w:val="auto"/>
          <w:lang w:eastAsia="en-GB"/>
        </w:rPr>
      </w:pPr>
    </w:p>
    <w:p w:rsidR="00915BA9" w:rsidRPr="00997F85" w:rsidRDefault="00915BA9" w:rsidP="00915BA9">
      <w:pPr>
        <w:rPr>
          <w:rStyle w:val="Strong"/>
          <w:rFonts w:cs="Arial"/>
          <w:b w:val="0"/>
          <w:highlight w:val="yellow"/>
        </w:rPr>
      </w:pPr>
      <w:r w:rsidRPr="00997F85">
        <w:rPr>
          <w:rStyle w:val="Strong"/>
          <w:rFonts w:cs="Arial"/>
          <w:b w:val="0"/>
        </w:rPr>
        <w:t xml:space="preserve">The investment strategy sets out a balance between different asset classes as follows:  </w:t>
      </w: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3311"/>
      </w:tblGrid>
      <w:tr w:rsidR="00915BA9" w:rsidRPr="002608DA" w:rsidTr="00563A61">
        <w:tc>
          <w:tcPr>
            <w:tcW w:w="3543" w:type="dxa"/>
            <w:tcBorders>
              <w:top w:val="single" w:sz="4" w:space="0" w:color="auto"/>
              <w:left w:val="single" w:sz="4" w:space="0" w:color="auto"/>
              <w:bottom w:val="single" w:sz="4" w:space="0" w:color="auto"/>
              <w:right w:val="single" w:sz="4" w:space="0" w:color="auto"/>
            </w:tcBorders>
            <w:shd w:val="clear" w:color="auto" w:fill="F2F2F2"/>
            <w:hideMark/>
          </w:tcPr>
          <w:p w:rsidR="00915BA9" w:rsidRPr="002608DA" w:rsidRDefault="00915BA9" w:rsidP="00563A61">
            <w:pPr>
              <w:jc w:val="center"/>
              <w:rPr>
                <w:rStyle w:val="Strong"/>
                <w:rFonts w:cs="Arial"/>
                <w:b w:val="0"/>
                <w:bCs w:val="0"/>
              </w:rPr>
            </w:pPr>
            <w:r w:rsidRPr="002608DA">
              <w:rPr>
                <w:rStyle w:val="Strong"/>
                <w:rFonts w:cs="Arial"/>
              </w:rPr>
              <w:t>Asset Class</w:t>
            </w:r>
          </w:p>
        </w:tc>
        <w:tc>
          <w:tcPr>
            <w:tcW w:w="3311" w:type="dxa"/>
            <w:tcBorders>
              <w:top w:val="single" w:sz="4" w:space="0" w:color="auto"/>
              <w:left w:val="single" w:sz="4" w:space="0" w:color="auto"/>
              <w:bottom w:val="single" w:sz="4" w:space="0" w:color="auto"/>
              <w:right w:val="single" w:sz="4" w:space="0" w:color="auto"/>
            </w:tcBorders>
            <w:shd w:val="clear" w:color="auto" w:fill="F2F2F2"/>
          </w:tcPr>
          <w:p w:rsidR="00915BA9" w:rsidRPr="002608DA" w:rsidRDefault="00915BA9" w:rsidP="00563A61">
            <w:pPr>
              <w:jc w:val="center"/>
              <w:rPr>
                <w:rStyle w:val="Strong"/>
                <w:rFonts w:cs="Arial"/>
                <w:b w:val="0"/>
                <w:bCs w:val="0"/>
              </w:rPr>
            </w:pPr>
            <w:r w:rsidRPr="002608DA">
              <w:rPr>
                <w:rStyle w:val="Strong"/>
                <w:rFonts w:cs="Arial"/>
              </w:rPr>
              <w:t>Range %</w:t>
            </w:r>
          </w:p>
          <w:p w:rsidR="00915BA9" w:rsidRPr="002608DA" w:rsidRDefault="00915BA9" w:rsidP="00563A61">
            <w:pPr>
              <w:jc w:val="center"/>
              <w:rPr>
                <w:rStyle w:val="Strong"/>
                <w:rFonts w:cs="Arial"/>
                <w:b w:val="0"/>
                <w:bCs w:val="0"/>
              </w:rPr>
            </w:pPr>
          </w:p>
        </w:tc>
      </w:tr>
      <w:tr w:rsidR="00915BA9" w:rsidRPr="002608DA" w:rsidTr="00563A61">
        <w:trPr>
          <w:trHeight w:val="822"/>
        </w:trPr>
        <w:tc>
          <w:tcPr>
            <w:tcW w:w="3543" w:type="dxa"/>
            <w:tcBorders>
              <w:top w:val="single" w:sz="4" w:space="0" w:color="auto"/>
              <w:left w:val="single" w:sz="4" w:space="0" w:color="auto"/>
              <w:bottom w:val="single" w:sz="4" w:space="0" w:color="auto"/>
              <w:right w:val="single" w:sz="4" w:space="0" w:color="auto"/>
            </w:tcBorders>
            <w:vAlign w:val="center"/>
            <w:hideMark/>
          </w:tcPr>
          <w:p w:rsidR="00915BA9" w:rsidRPr="002608DA" w:rsidRDefault="00915BA9" w:rsidP="00563A61">
            <w:pPr>
              <w:jc w:val="center"/>
              <w:rPr>
                <w:rStyle w:val="Strong"/>
                <w:rFonts w:cs="Arial"/>
                <w:b w:val="0"/>
                <w:bCs w:val="0"/>
              </w:rPr>
            </w:pPr>
            <w:r w:rsidRPr="002608DA">
              <w:rPr>
                <w:rStyle w:val="Strong"/>
                <w:rFonts w:cs="Arial"/>
              </w:rPr>
              <w:t>Global Equities – Active and Passive, Physical and Index.</w:t>
            </w:r>
          </w:p>
          <w:p w:rsidR="00915BA9" w:rsidRPr="002608DA" w:rsidRDefault="00915BA9" w:rsidP="00563A61">
            <w:pPr>
              <w:jc w:val="center"/>
              <w:rPr>
                <w:rStyle w:val="Strong"/>
                <w:rFonts w:cs="Arial"/>
                <w:b w:val="0"/>
                <w:bCs w:val="0"/>
              </w:rPr>
            </w:pPr>
            <w:r w:rsidRPr="002608DA">
              <w:rPr>
                <w:rStyle w:val="Strong"/>
                <w:rFonts w:cs="Arial"/>
              </w:rPr>
              <w:t>Private and Publicly Quoted</w:t>
            </w:r>
          </w:p>
        </w:tc>
        <w:tc>
          <w:tcPr>
            <w:tcW w:w="3311" w:type="dxa"/>
            <w:tcBorders>
              <w:top w:val="single" w:sz="4" w:space="0" w:color="auto"/>
              <w:left w:val="single" w:sz="4" w:space="0" w:color="auto"/>
              <w:bottom w:val="single" w:sz="4" w:space="0" w:color="auto"/>
              <w:right w:val="single" w:sz="4" w:space="0" w:color="auto"/>
            </w:tcBorders>
            <w:vAlign w:val="center"/>
            <w:hideMark/>
          </w:tcPr>
          <w:p w:rsidR="00915BA9" w:rsidRPr="002608DA" w:rsidRDefault="00915BA9" w:rsidP="00563A61">
            <w:pPr>
              <w:jc w:val="center"/>
              <w:rPr>
                <w:rStyle w:val="Strong"/>
                <w:rFonts w:cs="Arial"/>
                <w:b w:val="0"/>
                <w:bCs w:val="0"/>
              </w:rPr>
            </w:pPr>
            <w:r w:rsidRPr="002608DA">
              <w:rPr>
                <w:rStyle w:val="Strong"/>
                <w:rFonts w:cs="Arial"/>
              </w:rPr>
              <w:t>40-60</w:t>
            </w:r>
          </w:p>
        </w:tc>
      </w:tr>
      <w:tr w:rsidR="00915BA9" w:rsidRPr="002608DA" w:rsidTr="00563A61">
        <w:tc>
          <w:tcPr>
            <w:tcW w:w="3543" w:type="dxa"/>
            <w:tcBorders>
              <w:top w:val="single" w:sz="4" w:space="0" w:color="auto"/>
              <w:left w:val="single" w:sz="4" w:space="0" w:color="auto"/>
              <w:bottom w:val="single" w:sz="4" w:space="0" w:color="auto"/>
              <w:right w:val="single" w:sz="4" w:space="0" w:color="auto"/>
            </w:tcBorders>
            <w:vAlign w:val="center"/>
          </w:tcPr>
          <w:p w:rsidR="00915BA9" w:rsidRPr="002608DA" w:rsidRDefault="00915BA9" w:rsidP="00563A61">
            <w:pPr>
              <w:jc w:val="center"/>
              <w:rPr>
                <w:rStyle w:val="Strong"/>
                <w:rFonts w:cs="Arial"/>
                <w:b w:val="0"/>
                <w:bCs w:val="0"/>
              </w:rPr>
            </w:pPr>
          </w:p>
          <w:p w:rsidR="00915BA9" w:rsidRPr="002608DA" w:rsidRDefault="00915BA9" w:rsidP="00563A61">
            <w:pPr>
              <w:jc w:val="center"/>
              <w:rPr>
                <w:rStyle w:val="Strong"/>
                <w:rFonts w:cs="Arial"/>
                <w:b w:val="0"/>
                <w:bCs w:val="0"/>
              </w:rPr>
            </w:pPr>
            <w:r w:rsidRPr="002608DA">
              <w:rPr>
                <w:rStyle w:val="Strong"/>
                <w:rFonts w:cs="Arial"/>
              </w:rPr>
              <w:t>Diversified Property –UK and Overseas.</w:t>
            </w:r>
          </w:p>
          <w:p w:rsidR="00915BA9" w:rsidRPr="002608DA" w:rsidRDefault="00915BA9" w:rsidP="00563A61">
            <w:pPr>
              <w:jc w:val="center"/>
              <w:rPr>
                <w:rStyle w:val="Strong"/>
                <w:rFonts w:cs="Arial"/>
                <w:b w:val="0"/>
                <w:bCs w:val="0"/>
              </w:rPr>
            </w:pPr>
            <w:r w:rsidRPr="002608DA">
              <w:rPr>
                <w:rStyle w:val="Strong"/>
                <w:rFonts w:cs="Arial"/>
              </w:rPr>
              <w:t>Direct and indirect.</w:t>
            </w:r>
          </w:p>
          <w:p w:rsidR="00915BA9" w:rsidRPr="002608DA" w:rsidRDefault="00915BA9" w:rsidP="00563A61">
            <w:pPr>
              <w:jc w:val="center"/>
              <w:rPr>
                <w:rStyle w:val="Strong"/>
                <w:rFonts w:cs="Arial"/>
                <w:b w:val="0"/>
                <w:bCs w:val="0"/>
              </w:rPr>
            </w:pPr>
          </w:p>
        </w:tc>
        <w:tc>
          <w:tcPr>
            <w:tcW w:w="3311" w:type="dxa"/>
            <w:tcBorders>
              <w:top w:val="single" w:sz="4" w:space="0" w:color="auto"/>
              <w:left w:val="single" w:sz="4" w:space="0" w:color="auto"/>
              <w:bottom w:val="single" w:sz="4" w:space="0" w:color="auto"/>
              <w:right w:val="single" w:sz="4" w:space="0" w:color="auto"/>
            </w:tcBorders>
            <w:vAlign w:val="center"/>
            <w:hideMark/>
          </w:tcPr>
          <w:p w:rsidR="00915BA9" w:rsidRPr="002608DA" w:rsidRDefault="00915BA9" w:rsidP="00563A61">
            <w:pPr>
              <w:jc w:val="center"/>
              <w:rPr>
                <w:rStyle w:val="Strong"/>
                <w:rFonts w:cs="Arial"/>
                <w:b w:val="0"/>
                <w:bCs w:val="0"/>
              </w:rPr>
            </w:pPr>
            <w:r w:rsidRPr="002608DA">
              <w:rPr>
                <w:rStyle w:val="Strong"/>
                <w:rFonts w:cs="Arial"/>
              </w:rPr>
              <w:t>10-20</w:t>
            </w:r>
          </w:p>
        </w:tc>
      </w:tr>
      <w:tr w:rsidR="00915BA9" w:rsidRPr="002608DA" w:rsidTr="00563A61">
        <w:tc>
          <w:tcPr>
            <w:tcW w:w="3543" w:type="dxa"/>
            <w:tcBorders>
              <w:top w:val="single" w:sz="4" w:space="0" w:color="auto"/>
              <w:left w:val="single" w:sz="4" w:space="0" w:color="auto"/>
              <w:bottom w:val="single" w:sz="4" w:space="0" w:color="auto"/>
              <w:right w:val="single" w:sz="4" w:space="0" w:color="auto"/>
            </w:tcBorders>
            <w:vAlign w:val="center"/>
          </w:tcPr>
          <w:p w:rsidR="00915BA9" w:rsidRPr="002608DA" w:rsidRDefault="00915BA9" w:rsidP="00563A61">
            <w:pPr>
              <w:jc w:val="center"/>
              <w:rPr>
                <w:rStyle w:val="Strong"/>
                <w:rFonts w:cs="Arial"/>
                <w:b w:val="0"/>
              </w:rPr>
            </w:pPr>
          </w:p>
          <w:p w:rsidR="00915BA9" w:rsidRPr="002608DA" w:rsidRDefault="00915BA9" w:rsidP="00563A61">
            <w:pPr>
              <w:rPr>
                <w:rStyle w:val="Strong"/>
                <w:rFonts w:cs="Arial"/>
                <w:b w:val="0"/>
                <w:bCs w:val="0"/>
              </w:rPr>
            </w:pPr>
            <w:r w:rsidRPr="002608DA">
              <w:rPr>
                <w:rStyle w:val="Strong"/>
                <w:rFonts w:cs="Arial"/>
              </w:rPr>
              <w:t>Lower Volatility Strategies -</w:t>
            </w:r>
          </w:p>
          <w:p w:rsidR="00915BA9" w:rsidRPr="002608DA" w:rsidRDefault="00915BA9" w:rsidP="00563A61">
            <w:pPr>
              <w:jc w:val="center"/>
              <w:rPr>
                <w:rStyle w:val="Strong"/>
                <w:rFonts w:cs="Arial"/>
                <w:b w:val="0"/>
                <w:iCs/>
              </w:rPr>
            </w:pPr>
          </w:p>
          <w:p w:rsidR="00915BA9" w:rsidRPr="002608DA" w:rsidRDefault="00915BA9" w:rsidP="00563A61">
            <w:pPr>
              <w:jc w:val="center"/>
              <w:rPr>
                <w:rStyle w:val="Strong"/>
                <w:rFonts w:cs="Arial"/>
                <w:b w:val="0"/>
                <w:bCs w:val="0"/>
                <w:i/>
                <w:iCs/>
              </w:rPr>
            </w:pPr>
            <w:r w:rsidRPr="002608DA">
              <w:rPr>
                <w:rStyle w:val="Strong"/>
                <w:rFonts w:cs="Arial"/>
                <w:iCs/>
              </w:rPr>
              <w:t>(including but not exclusively, Fixed Income, PFI, Credit strategies,</w:t>
            </w:r>
          </w:p>
          <w:p w:rsidR="00915BA9" w:rsidRPr="002608DA" w:rsidRDefault="00915BA9" w:rsidP="00563A61">
            <w:pPr>
              <w:jc w:val="center"/>
              <w:rPr>
                <w:rStyle w:val="Strong"/>
                <w:rFonts w:cs="Arial"/>
                <w:b w:val="0"/>
                <w:bCs w:val="0"/>
                <w:i/>
                <w:iCs/>
              </w:rPr>
            </w:pPr>
            <w:r w:rsidRPr="002608DA">
              <w:rPr>
                <w:rStyle w:val="Strong"/>
                <w:rFonts w:cs="Arial"/>
                <w:iCs/>
              </w:rPr>
              <w:t>Infrastructure, Currency, Commodities,</w:t>
            </w:r>
          </w:p>
          <w:p w:rsidR="00915BA9" w:rsidRPr="002608DA" w:rsidRDefault="00915BA9" w:rsidP="00563A61">
            <w:pPr>
              <w:jc w:val="center"/>
              <w:rPr>
                <w:rStyle w:val="Strong"/>
                <w:rFonts w:cs="Arial"/>
                <w:b w:val="0"/>
                <w:bCs w:val="0"/>
                <w:i/>
                <w:iCs/>
              </w:rPr>
            </w:pPr>
            <w:r w:rsidRPr="002608DA">
              <w:rPr>
                <w:rStyle w:val="Strong"/>
                <w:rFonts w:cs="Arial"/>
                <w:iCs/>
              </w:rPr>
              <w:t>Absolute Return, Cash, funds and index,</w:t>
            </w:r>
          </w:p>
          <w:p w:rsidR="00915BA9" w:rsidRPr="002608DA" w:rsidRDefault="00915BA9" w:rsidP="00563A61">
            <w:pPr>
              <w:jc w:val="center"/>
              <w:rPr>
                <w:rStyle w:val="Strong"/>
                <w:rFonts w:cs="Arial"/>
                <w:b w:val="0"/>
                <w:bCs w:val="0"/>
                <w:i/>
                <w:iCs/>
              </w:rPr>
            </w:pPr>
            <w:r w:rsidRPr="002608DA">
              <w:rPr>
                <w:rStyle w:val="Strong"/>
                <w:rFonts w:cs="Arial"/>
                <w:iCs/>
              </w:rPr>
              <w:t>Local development/PPP type allocations)</w:t>
            </w:r>
          </w:p>
          <w:p w:rsidR="00915BA9" w:rsidRPr="002608DA" w:rsidRDefault="00915BA9" w:rsidP="00563A61">
            <w:pPr>
              <w:jc w:val="center"/>
              <w:rPr>
                <w:rStyle w:val="Strong"/>
                <w:rFonts w:cs="Arial"/>
                <w:b w:val="0"/>
                <w:bCs w:val="0"/>
              </w:rPr>
            </w:pPr>
          </w:p>
        </w:tc>
        <w:tc>
          <w:tcPr>
            <w:tcW w:w="3311" w:type="dxa"/>
            <w:tcBorders>
              <w:top w:val="single" w:sz="4" w:space="0" w:color="auto"/>
              <w:left w:val="single" w:sz="4" w:space="0" w:color="auto"/>
              <w:bottom w:val="single" w:sz="4" w:space="0" w:color="auto"/>
              <w:right w:val="single" w:sz="4" w:space="0" w:color="auto"/>
            </w:tcBorders>
            <w:vAlign w:val="center"/>
            <w:hideMark/>
          </w:tcPr>
          <w:p w:rsidR="00915BA9" w:rsidRPr="002608DA" w:rsidRDefault="00915BA9" w:rsidP="00563A61">
            <w:pPr>
              <w:jc w:val="center"/>
              <w:rPr>
                <w:rStyle w:val="Strong"/>
                <w:rFonts w:cs="Arial"/>
                <w:b w:val="0"/>
                <w:bCs w:val="0"/>
              </w:rPr>
            </w:pPr>
            <w:r w:rsidRPr="002608DA">
              <w:rPr>
                <w:rStyle w:val="Strong"/>
                <w:rFonts w:cs="Arial"/>
              </w:rPr>
              <w:t>20-40</w:t>
            </w:r>
          </w:p>
        </w:tc>
      </w:tr>
    </w:tbl>
    <w:p w:rsidR="00915BA9" w:rsidRPr="002608DA" w:rsidRDefault="00915BA9" w:rsidP="00915BA9">
      <w:pPr>
        <w:pStyle w:val="BodyTextIndent3"/>
        <w:tabs>
          <w:tab w:val="left" w:pos="0"/>
        </w:tabs>
        <w:ind w:left="0"/>
        <w:rPr>
          <w:rStyle w:val="Strong"/>
          <w:rFonts w:cs="Arial"/>
          <w:b w:val="0"/>
          <w:szCs w:val="24"/>
          <w:highlight w:val="yellow"/>
        </w:rPr>
      </w:pPr>
    </w:p>
    <w:p w:rsidR="00915BA9" w:rsidRDefault="00915BA9" w:rsidP="00915BA9">
      <w:pPr>
        <w:pStyle w:val="BodyTextIndent3"/>
        <w:ind w:left="0"/>
        <w:rPr>
          <w:rFonts w:cs="Arial"/>
        </w:rPr>
      </w:pPr>
      <w:r w:rsidRPr="008C7F7C">
        <w:rPr>
          <w:rFonts w:cs="Arial"/>
        </w:rPr>
        <w:t xml:space="preserve">The </w:t>
      </w:r>
      <w:r>
        <w:rPr>
          <w:rFonts w:cs="Arial"/>
        </w:rPr>
        <w:t>Active Public Equity and Fixed Interest M</w:t>
      </w:r>
      <w:r w:rsidRPr="008C7F7C">
        <w:rPr>
          <w:rFonts w:cs="Arial"/>
        </w:rPr>
        <w:t xml:space="preserve">anagers have full discretion to invest within each investment category subject to statutory limits and any asset allocation ranges around the benchmark, agreed between the Investment Panel and the </w:t>
      </w:r>
      <w:r>
        <w:rPr>
          <w:rFonts w:cs="Arial"/>
        </w:rPr>
        <w:t>M</w:t>
      </w:r>
      <w:r w:rsidRPr="008C7F7C">
        <w:rPr>
          <w:rFonts w:cs="Arial"/>
        </w:rPr>
        <w:t>anagers. The Property Manager's mandate is advisory with final decisions being taken by the Treasurer to the Fund based upon that advice.</w:t>
      </w:r>
    </w:p>
    <w:p w:rsidR="00915BA9" w:rsidRPr="008C7F7C" w:rsidRDefault="00915BA9" w:rsidP="00915BA9">
      <w:pPr>
        <w:pStyle w:val="BodyTextIndent3"/>
        <w:ind w:left="0"/>
      </w:pPr>
      <w:r>
        <w:rPr>
          <w:rFonts w:cs="Arial"/>
        </w:rPr>
        <w:t>With pooled funds, the manager of the investment fund operates within the constraints imposed by the constitution of the pooled fund, as reviewed and approved by the Investment Panel.</w:t>
      </w:r>
    </w:p>
    <w:p w:rsidR="00915BA9" w:rsidRPr="00E35DEB" w:rsidRDefault="00E35DEB" w:rsidP="00612C1F">
      <w:pPr>
        <w:spacing w:after="0"/>
        <w:jc w:val="left"/>
        <w:rPr>
          <w:rFonts w:ascii="TT1915Do00" w:eastAsia="Cambria" w:hAnsi="TT1915Do00" w:cs="TT1915Do00"/>
          <w:color w:val="auto"/>
          <w:lang w:eastAsia="en-GB"/>
        </w:rPr>
      </w:pPr>
      <w:r w:rsidRPr="00E35DEB">
        <w:rPr>
          <w:rFonts w:ascii="TT1915Do00" w:eastAsia="Cambria" w:hAnsi="TT1915Do00" w:cs="TT1915Do00"/>
          <w:color w:val="auto"/>
          <w:lang w:eastAsia="en-GB"/>
        </w:rPr>
        <w:t>A separate strategy has been approved by the Pension Fund Committee in relation to each of the individual asset classes described in the above table.</w:t>
      </w:r>
    </w:p>
    <w:p w:rsidR="00612C1F" w:rsidRPr="00E35DEB" w:rsidRDefault="00612C1F" w:rsidP="00612C1F">
      <w:pPr>
        <w:spacing w:after="0"/>
        <w:jc w:val="left"/>
        <w:rPr>
          <w:rFonts w:ascii="TT1915Ao00" w:eastAsia="Cambria" w:hAnsi="TT1915Ao00" w:cs="TT1915Ao00"/>
          <w:b/>
          <w:color w:val="auto"/>
          <w:lang w:eastAsia="en-GB"/>
        </w:rPr>
      </w:pPr>
      <w:r w:rsidRPr="00E35DEB">
        <w:rPr>
          <w:rFonts w:ascii="TT1915Ao00" w:eastAsia="Cambria" w:hAnsi="TT1915Ao00" w:cs="TT1915Ao00"/>
          <w:b/>
          <w:color w:val="auto"/>
          <w:lang w:eastAsia="en-GB"/>
        </w:rPr>
        <w:lastRenderedPageBreak/>
        <w:t>Performance Targets</w:t>
      </w:r>
    </w:p>
    <w:p w:rsidR="00E35DEB" w:rsidRPr="00E35DEB" w:rsidRDefault="00E35DEB" w:rsidP="00612C1F">
      <w:pPr>
        <w:spacing w:after="0"/>
        <w:jc w:val="left"/>
        <w:rPr>
          <w:rFonts w:ascii="TT1915Do00" w:eastAsia="Cambria" w:hAnsi="TT1915Do00" w:cs="TT1915Do00"/>
          <w:color w:val="auto"/>
          <w:lang w:eastAsia="en-GB"/>
        </w:rPr>
      </w:pPr>
    </w:p>
    <w:p w:rsidR="002338EC" w:rsidRDefault="00E35DEB" w:rsidP="00E35DEB">
      <w:pPr>
        <w:rPr>
          <w:rFonts w:cs="Arial"/>
          <w:snapToGrid w:val="0"/>
        </w:rPr>
      </w:pPr>
      <w:r w:rsidRPr="006D2713">
        <w:rPr>
          <w:rFonts w:cs="Arial"/>
          <w:snapToGrid w:val="0"/>
        </w:rPr>
        <w:t xml:space="preserve">Each manager is expected to achieve an excess return on the assets under their management greater than the relevant benchmark. In assessing performance of each manager the </w:t>
      </w:r>
      <w:r>
        <w:rPr>
          <w:rFonts w:cs="Arial"/>
          <w:snapToGrid w:val="0"/>
        </w:rPr>
        <w:t>Investment</w:t>
      </w:r>
      <w:r w:rsidRPr="006D2713">
        <w:rPr>
          <w:rFonts w:cs="Arial"/>
          <w:snapToGrid w:val="0"/>
        </w:rPr>
        <w:t xml:space="preserve"> Panel takes in to account the long-term nature of the investment process and returns are judged primarily on an annualised basis over a rolling three-year period. The </w:t>
      </w:r>
      <w:r>
        <w:rPr>
          <w:rFonts w:cs="Arial"/>
          <w:snapToGrid w:val="0"/>
        </w:rPr>
        <w:t>Investment</w:t>
      </w:r>
      <w:r w:rsidRPr="006D2713">
        <w:rPr>
          <w:rFonts w:cs="Arial"/>
          <w:snapToGrid w:val="0"/>
        </w:rPr>
        <w:t xml:space="preserve"> Panel reviews the appointment of each manager at least every three years or such shorter period as may be necessary</w:t>
      </w:r>
      <w:r>
        <w:rPr>
          <w:rFonts w:cs="Arial"/>
          <w:snapToGrid w:val="0"/>
        </w:rPr>
        <w:t xml:space="preserve">.  </w:t>
      </w:r>
    </w:p>
    <w:p w:rsidR="00E35DEB" w:rsidRDefault="00E35DEB" w:rsidP="00E35DEB">
      <w:pPr>
        <w:rPr>
          <w:rFonts w:cs="Arial"/>
          <w:snapToGrid w:val="0"/>
        </w:rPr>
      </w:pPr>
      <w:r>
        <w:rPr>
          <w:rFonts w:cs="Arial"/>
          <w:snapToGrid w:val="0"/>
        </w:rPr>
        <w:t>The targets and benchmarks</w:t>
      </w:r>
      <w:r w:rsidR="002338EC">
        <w:rPr>
          <w:rFonts w:cs="Arial"/>
          <w:snapToGrid w:val="0"/>
        </w:rPr>
        <w:t xml:space="preserve">, where such assets are held, </w:t>
      </w:r>
      <w:r>
        <w:rPr>
          <w:rFonts w:cs="Arial"/>
          <w:snapToGrid w:val="0"/>
        </w:rPr>
        <w:t>are as follows:</w:t>
      </w:r>
    </w:p>
    <w:p w:rsidR="00F75D7A" w:rsidRPr="00626F86" w:rsidRDefault="00F75D7A" w:rsidP="00F75D7A">
      <w:pPr>
        <w:numPr>
          <w:ilvl w:val="0"/>
          <w:numId w:val="10"/>
        </w:numPr>
        <w:tabs>
          <w:tab w:val="clear" w:pos="360"/>
        </w:tabs>
        <w:autoSpaceDE/>
        <w:autoSpaceDN/>
        <w:adjustRightInd/>
        <w:ind w:left="1418" w:hanging="851"/>
      </w:pPr>
      <w:r w:rsidRPr="00626F86">
        <w:t>The Global Equity specialist managers have a target to outperform the MSCI All World index by 2.5% (net of fees) on a rolling three year basis. They are benchmarked against the MSCI All World index</w:t>
      </w:r>
      <w:r>
        <w:t>.</w:t>
      </w:r>
    </w:p>
    <w:p w:rsidR="00F75D7A" w:rsidRPr="008C0F29" w:rsidRDefault="00F75D7A" w:rsidP="00F75D7A">
      <w:pPr>
        <w:numPr>
          <w:ilvl w:val="0"/>
          <w:numId w:val="10"/>
        </w:numPr>
        <w:tabs>
          <w:tab w:val="clear" w:pos="360"/>
        </w:tabs>
        <w:autoSpaceDE/>
        <w:autoSpaceDN/>
        <w:adjustRightInd/>
        <w:ind w:left="1418" w:hanging="851"/>
      </w:pPr>
      <w:r w:rsidRPr="008C0F29">
        <w:t>The Government Bonds manager is expected to outperform the FTSE All Stocks benchmark performance return by 0.75% (net of fees) on a rolling three year basis</w:t>
      </w:r>
      <w:r>
        <w:t>.</w:t>
      </w:r>
    </w:p>
    <w:p w:rsidR="00F75D7A" w:rsidRDefault="00F75D7A" w:rsidP="00F75D7A">
      <w:pPr>
        <w:numPr>
          <w:ilvl w:val="0"/>
          <w:numId w:val="10"/>
        </w:numPr>
        <w:tabs>
          <w:tab w:val="clear" w:pos="360"/>
        </w:tabs>
        <w:autoSpaceDE/>
        <w:autoSpaceDN/>
        <w:adjustRightInd/>
        <w:ind w:left="1418" w:hanging="851"/>
      </w:pPr>
      <w:r>
        <w:t>The Corporate Bonds manager is expected to outperform the IBOXX sterling Non Gilts benchmark on a rolling three year basis.</w:t>
      </w:r>
    </w:p>
    <w:p w:rsidR="00F75D7A" w:rsidRDefault="00F75D7A" w:rsidP="00F75D7A">
      <w:pPr>
        <w:numPr>
          <w:ilvl w:val="0"/>
          <w:numId w:val="10"/>
        </w:numPr>
        <w:tabs>
          <w:tab w:val="clear" w:pos="360"/>
        </w:tabs>
        <w:autoSpaceDE/>
        <w:autoSpaceDN/>
        <w:adjustRightInd/>
        <w:ind w:left="1418" w:hanging="851"/>
      </w:pPr>
      <w:r>
        <w:t>Bonds and cash held for treasury management purposes are expected to outperform the FT 7 day LIBID.</w:t>
      </w:r>
    </w:p>
    <w:p w:rsidR="00F75D7A" w:rsidRPr="00CB2159" w:rsidRDefault="00F75D7A" w:rsidP="00F75D7A">
      <w:pPr>
        <w:numPr>
          <w:ilvl w:val="0"/>
          <w:numId w:val="10"/>
        </w:numPr>
        <w:tabs>
          <w:tab w:val="clear" w:pos="360"/>
        </w:tabs>
        <w:autoSpaceDE/>
        <w:autoSpaceDN/>
        <w:adjustRightInd/>
        <w:ind w:left="1418" w:hanging="851"/>
      </w:pPr>
      <w:r w:rsidRPr="00626F86">
        <w:t xml:space="preserve">The Private Equity Manager has a target to outperform the median return in the British Venture Capital Association (BVCA) survey of Private Equity returns by 3%.  </w:t>
      </w:r>
      <w:r>
        <w:t>Historically, t</w:t>
      </w:r>
      <w:r w:rsidRPr="00626F86">
        <w:t xml:space="preserve">he Private Equity benchmark </w:t>
      </w:r>
      <w:r>
        <w:t xml:space="preserve">has been the </w:t>
      </w:r>
      <w:r w:rsidRPr="00626F86">
        <w:t>FTSE All Share</w:t>
      </w:r>
      <w:r>
        <w:t>. Going forward, an absolute return target may be more appropriate, and the Fund's independent advisers have suggested a target in the range 8-12% per annum, with a natural mid-point of 10%.</w:t>
      </w:r>
    </w:p>
    <w:p w:rsidR="00F75D7A" w:rsidRPr="00DE3E94" w:rsidRDefault="00F75D7A" w:rsidP="00F75D7A">
      <w:pPr>
        <w:numPr>
          <w:ilvl w:val="0"/>
          <w:numId w:val="10"/>
        </w:numPr>
        <w:tabs>
          <w:tab w:val="clear" w:pos="360"/>
        </w:tabs>
        <w:autoSpaceDE/>
        <w:autoSpaceDN/>
        <w:adjustRightInd/>
        <w:ind w:left="1418" w:hanging="851"/>
      </w:pPr>
      <w:r w:rsidRPr="00DE3E94">
        <w:t>The Infrastructure manager</w:t>
      </w:r>
      <w:r>
        <w:t>s</w:t>
      </w:r>
      <w:r w:rsidRPr="00DE3E94">
        <w:t xml:space="preserve"> </w:t>
      </w:r>
      <w:r>
        <w:t>are</w:t>
      </w:r>
      <w:r w:rsidRPr="00DE3E94">
        <w:t xml:space="preserve"> expected to outperform </w:t>
      </w:r>
      <w:r>
        <w:t>an 8%</w:t>
      </w:r>
      <w:r w:rsidRPr="00DE3E94">
        <w:t xml:space="preserve"> </w:t>
      </w:r>
      <w:r>
        <w:t>a</w:t>
      </w:r>
      <w:r w:rsidRPr="00DE3E94">
        <w:t>bsolute benchmark on a rolling three year basis.</w:t>
      </w:r>
    </w:p>
    <w:p w:rsidR="00F75D7A" w:rsidRPr="00790BCB" w:rsidRDefault="00F75D7A" w:rsidP="00F75D7A">
      <w:pPr>
        <w:numPr>
          <w:ilvl w:val="0"/>
          <w:numId w:val="10"/>
        </w:numPr>
        <w:tabs>
          <w:tab w:val="clear" w:pos="360"/>
        </w:tabs>
        <w:autoSpaceDE/>
        <w:autoSpaceDN/>
        <w:adjustRightInd/>
        <w:ind w:left="1418" w:hanging="851"/>
        <w:rPr>
          <w:b/>
          <w:color w:val="auto"/>
        </w:rPr>
      </w:pPr>
      <w:r w:rsidRPr="00790BCB">
        <w:rPr>
          <w:color w:val="auto"/>
        </w:rPr>
        <w:t>The credit and fixed income funds have individual targets and benchmarks relating to their specific sub-class within the overall asset allocation.</w:t>
      </w:r>
    </w:p>
    <w:p w:rsidR="00F75D7A" w:rsidRPr="008C0F29" w:rsidRDefault="00F75D7A" w:rsidP="00F75D7A">
      <w:pPr>
        <w:numPr>
          <w:ilvl w:val="0"/>
          <w:numId w:val="10"/>
        </w:numPr>
        <w:tabs>
          <w:tab w:val="clear" w:pos="360"/>
        </w:tabs>
        <w:autoSpaceDE/>
        <w:autoSpaceDN/>
        <w:adjustRightInd/>
        <w:spacing w:after="0"/>
        <w:ind w:left="1418" w:hanging="851"/>
      </w:pPr>
      <w:r w:rsidRPr="009B0CB3">
        <w:t xml:space="preserve">The </w:t>
      </w:r>
      <w:r>
        <w:t xml:space="preserve">UK direct </w:t>
      </w:r>
      <w:r w:rsidRPr="009B0CB3">
        <w:t>property manager is expected to outperform the IPD</w:t>
      </w:r>
      <w:r w:rsidRPr="006D2713">
        <w:t xml:space="preserve"> All Property </w:t>
      </w:r>
      <w:r>
        <w:t>Index</w:t>
      </w:r>
      <w:r w:rsidRPr="00105740">
        <w:t xml:space="preserve"> Benchmark return on a rolling three year basis</w:t>
      </w:r>
      <w:r w:rsidRPr="008C0F29">
        <w:t xml:space="preserve">. </w:t>
      </w:r>
      <w:r>
        <w:t>Overall, and as set out in the property strategy above, the core property strategy targets an Internal Rate of Return (IRR) of 6-8% per annum, whilst the specialist income/ opportunity strategies would be expected to return IRRs of 8-12% per annum.</w:t>
      </w:r>
    </w:p>
    <w:p w:rsidR="00E35DEB" w:rsidRPr="00DE3E94" w:rsidRDefault="00E35DEB" w:rsidP="00F75D7A">
      <w:pPr>
        <w:autoSpaceDE/>
        <w:autoSpaceDN/>
        <w:adjustRightInd/>
        <w:spacing w:after="0"/>
        <w:ind w:left="360"/>
        <w:jc w:val="left"/>
      </w:pPr>
    </w:p>
    <w:p w:rsidR="00E35DEB" w:rsidRDefault="00E35DEB">
      <w:pPr>
        <w:autoSpaceDE/>
        <w:autoSpaceDN/>
        <w:adjustRightInd/>
        <w:spacing w:after="0"/>
        <w:jc w:val="left"/>
        <w:rPr>
          <w:rFonts w:ascii="TT1915Ao00" w:eastAsia="Cambria" w:hAnsi="TT1915Ao00" w:cs="TT1915Ao00"/>
          <w:b/>
          <w:color w:val="auto"/>
          <w:lang w:eastAsia="en-GB"/>
        </w:rPr>
      </w:pPr>
      <w:r>
        <w:rPr>
          <w:rFonts w:ascii="TT1915Ao00" w:eastAsia="Cambria" w:hAnsi="TT1915Ao00" w:cs="TT1915Ao00"/>
          <w:b/>
          <w:color w:val="auto"/>
          <w:lang w:eastAsia="en-GB"/>
        </w:rPr>
        <w:br w:type="page"/>
      </w:r>
    </w:p>
    <w:p w:rsidR="00612C1F" w:rsidRPr="00025715" w:rsidRDefault="00612C1F" w:rsidP="00612C1F">
      <w:pPr>
        <w:spacing w:after="0"/>
        <w:jc w:val="left"/>
        <w:rPr>
          <w:rFonts w:ascii="TT1915Ao00" w:eastAsia="Cambria" w:hAnsi="TT1915Ao00" w:cs="TT1915Ao00"/>
          <w:b/>
          <w:color w:val="auto"/>
          <w:lang w:eastAsia="en-GB"/>
        </w:rPr>
      </w:pPr>
      <w:r w:rsidRPr="00025715">
        <w:rPr>
          <w:rFonts w:ascii="TT1915Ao00" w:eastAsia="Cambria" w:hAnsi="TT1915Ao00" w:cs="TT1915Ao00"/>
          <w:b/>
          <w:color w:val="auto"/>
          <w:lang w:eastAsia="en-GB"/>
        </w:rPr>
        <w:lastRenderedPageBreak/>
        <w:t>Annex 3</w:t>
      </w:r>
    </w:p>
    <w:p w:rsidR="00E4638B" w:rsidRPr="00025715" w:rsidRDefault="00E4638B" w:rsidP="00612C1F">
      <w:pPr>
        <w:spacing w:after="0"/>
        <w:jc w:val="left"/>
        <w:rPr>
          <w:rFonts w:ascii="TT1915Ao00" w:eastAsia="Cambria" w:hAnsi="TT1915Ao00" w:cs="TT1915Ao00"/>
          <w:b/>
          <w:color w:val="auto"/>
          <w:lang w:eastAsia="en-GB"/>
        </w:rPr>
      </w:pPr>
    </w:p>
    <w:p w:rsidR="00612C1F" w:rsidRPr="00025715" w:rsidRDefault="00612C1F" w:rsidP="00612C1F">
      <w:pPr>
        <w:spacing w:after="0"/>
        <w:jc w:val="left"/>
        <w:rPr>
          <w:rFonts w:ascii="TT1915Ao00" w:eastAsia="Cambria" w:hAnsi="TT1915Ao00" w:cs="TT1915Ao00"/>
          <w:b/>
          <w:color w:val="auto"/>
          <w:lang w:eastAsia="en-GB"/>
        </w:rPr>
      </w:pPr>
      <w:r w:rsidRPr="00025715">
        <w:rPr>
          <w:rFonts w:ascii="TT1915Ao00" w:eastAsia="Cambria" w:hAnsi="TT1915Ao00" w:cs="TT1915Ao00"/>
          <w:b/>
          <w:color w:val="auto"/>
          <w:lang w:eastAsia="en-GB"/>
        </w:rPr>
        <w:t>Key Risks Identified</w:t>
      </w:r>
    </w:p>
    <w:p w:rsidR="00D0072C" w:rsidRPr="00D0072C" w:rsidRDefault="00D0072C" w:rsidP="00612C1F">
      <w:pPr>
        <w:spacing w:after="0"/>
        <w:jc w:val="left"/>
        <w:rPr>
          <w:rFonts w:ascii="TT1915Do00" w:eastAsia="Cambria" w:hAnsi="TT1915Do00" w:cs="TT1915Do00"/>
          <w:color w:val="auto"/>
          <w:lang w:eastAsia="en-GB"/>
        </w:rPr>
      </w:pPr>
    </w:p>
    <w:p w:rsidR="00612C1F" w:rsidRPr="00D0072C" w:rsidRDefault="00FA5C62" w:rsidP="00612C1F">
      <w:pPr>
        <w:spacing w:after="0"/>
        <w:jc w:val="left"/>
        <w:rPr>
          <w:rFonts w:ascii="TT1915Do00" w:eastAsia="Cambria" w:hAnsi="TT1915Do00" w:cs="TT1915Do00"/>
          <w:color w:val="auto"/>
          <w:lang w:eastAsia="en-GB"/>
        </w:rPr>
      </w:pPr>
      <w:r>
        <w:rPr>
          <w:rFonts w:ascii="TT1915Do00" w:eastAsia="Cambria" w:hAnsi="TT1915Do00" w:cs="TT1915Do00"/>
          <w:color w:val="auto"/>
          <w:lang w:eastAsia="en-GB"/>
        </w:rPr>
        <w:t xml:space="preserve">The following risks, as set out in the Fund's Risk register, </w:t>
      </w:r>
      <w:r w:rsidR="00612C1F" w:rsidRPr="00D0072C">
        <w:rPr>
          <w:rFonts w:ascii="TT1915Do00" w:eastAsia="Cambria" w:hAnsi="TT1915Do00" w:cs="TT1915Do00"/>
          <w:color w:val="auto"/>
          <w:lang w:eastAsia="en-GB"/>
        </w:rPr>
        <w:t>will be monitored and reviewed in line with the monitoring and review</w:t>
      </w:r>
      <w:r w:rsidR="00E4638B" w:rsidRPr="00D0072C">
        <w:rPr>
          <w:rFonts w:ascii="TT1915Do00" w:eastAsia="Cambria" w:hAnsi="TT1915Do00" w:cs="TT1915Do00"/>
          <w:color w:val="auto"/>
          <w:lang w:eastAsia="en-GB"/>
        </w:rPr>
        <w:t xml:space="preserve"> </w:t>
      </w:r>
      <w:r w:rsidR="00612C1F" w:rsidRPr="00D0072C">
        <w:rPr>
          <w:rFonts w:ascii="TT1915Do00" w:eastAsia="Cambria" w:hAnsi="TT1915Do00" w:cs="TT1915Do00"/>
          <w:color w:val="auto"/>
          <w:lang w:eastAsia="en-GB"/>
        </w:rPr>
        <w:t xml:space="preserve">guidelines identified </w:t>
      </w:r>
      <w:r w:rsidR="00D0072C" w:rsidRPr="00D0072C">
        <w:rPr>
          <w:rFonts w:ascii="TT1915Do00" w:eastAsia="Cambria" w:hAnsi="TT1915Do00" w:cs="TT1915Do00"/>
          <w:color w:val="auto"/>
          <w:lang w:eastAsia="en-GB"/>
        </w:rPr>
        <w:t>elsewhere w</w:t>
      </w:r>
      <w:r w:rsidR="00612C1F" w:rsidRPr="00D0072C">
        <w:rPr>
          <w:rFonts w:ascii="TT1915Do00" w:eastAsia="Cambria" w:hAnsi="TT1915Do00" w:cs="TT1915Do00"/>
          <w:color w:val="auto"/>
          <w:lang w:eastAsia="en-GB"/>
        </w:rPr>
        <w:t>ithin the Funding Strategy Statement</w:t>
      </w:r>
      <w:r w:rsidR="00066C0E">
        <w:rPr>
          <w:rFonts w:ascii="TT1915Do00" w:eastAsia="Cambria" w:hAnsi="TT1915Do00" w:cs="TT1915Do00"/>
          <w:color w:val="auto"/>
          <w:lang w:eastAsia="en-GB"/>
        </w:rPr>
        <w:t>:</w:t>
      </w:r>
    </w:p>
    <w:p w:rsidR="00E4638B" w:rsidRDefault="00E4638B" w:rsidP="00612C1F">
      <w:pPr>
        <w:spacing w:after="0"/>
        <w:jc w:val="left"/>
        <w:rPr>
          <w:rFonts w:ascii="TT1915Do00" w:eastAsia="Cambria" w:hAnsi="TT1915Do00" w:cs="TT1915Do00"/>
          <w:color w:val="auto"/>
          <w:lang w:eastAsia="en-GB"/>
        </w:rPr>
      </w:pPr>
    </w:p>
    <w:p w:rsidR="00066C0E" w:rsidRDefault="00066C0E" w:rsidP="00066C0E">
      <w:pPr>
        <w:pStyle w:val="ListParagraph"/>
        <w:numPr>
          <w:ilvl w:val="0"/>
          <w:numId w:val="17"/>
        </w:numPr>
        <w:spacing w:after="0"/>
        <w:jc w:val="left"/>
        <w:rPr>
          <w:rFonts w:ascii="TT1915Do00" w:eastAsia="Cambria" w:hAnsi="TT1915Do00" w:cs="TT1915Do00"/>
          <w:color w:val="auto"/>
          <w:lang w:eastAsia="en-GB"/>
        </w:rPr>
      </w:pPr>
      <w:r>
        <w:rPr>
          <w:rFonts w:ascii="TT1915Do00" w:eastAsia="Cambria" w:hAnsi="TT1915Do00" w:cs="TT1915Do00"/>
          <w:color w:val="auto"/>
          <w:lang w:eastAsia="en-GB"/>
        </w:rPr>
        <w:t>Investment and funding risk;</w:t>
      </w:r>
    </w:p>
    <w:p w:rsidR="00066C0E" w:rsidRDefault="00066C0E" w:rsidP="00066C0E">
      <w:pPr>
        <w:pStyle w:val="ListParagraph"/>
        <w:numPr>
          <w:ilvl w:val="0"/>
          <w:numId w:val="17"/>
        </w:numPr>
        <w:spacing w:after="0"/>
        <w:jc w:val="left"/>
        <w:rPr>
          <w:rFonts w:ascii="TT1915Do00" w:eastAsia="Cambria" w:hAnsi="TT1915Do00" w:cs="TT1915Do00"/>
          <w:color w:val="auto"/>
          <w:lang w:eastAsia="en-GB"/>
        </w:rPr>
      </w:pPr>
      <w:r>
        <w:rPr>
          <w:rFonts w:ascii="TT1915Do00" w:eastAsia="Cambria" w:hAnsi="TT1915Do00" w:cs="TT1915Do00"/>
          <w:color w:val="auto"/>
          <w:lang w:eastAsia="en-GB"/>
        </w:rPr>
        <w:t>Employer risk;</w:t>
      </w:r>
    </w:p>
    <w:p w:rsidR="00066C0E" w:rsidRDefault="00066C0E" w:rsidP="00066C0E">
      <w:pPr>
        <w:pStyle w:val="ListParagraph"/>
        <w:numPr>
          <w:ilvl w:val="0"/>
          <w:numId w:val="17"/>
        </w:numPr>
        <w:spacing w:after="0"/>
        <w:jc w:val="left"/>
        <w:rPr>
          <w:rFonts w:ascii="TT1915Do00" w:eastAsia="Cambria" w:hAnsi="TT1915Do00" w:cs="TT1915Do00"/>
          <w:color w:val="auto"/>
          <w:lang w:eastAsia="en-GB"/>
        </w:rPr>
      </w:pPr>
      <w:r>
        <w:rPr>
          <w:rFonts w:ascii="TT1915Do00" w:eastAsia="Cambria" w:hAnsi="TT1915Do00" w:cs="TT1915Do00"/>
          <w:color w:val="auto"/>
          <w:lang w:eastAsia="en-GB"/>
        </w:rPr>
        <w:t>Skill and resource risk;</w:t>
      </w:r>
    </w:p>
    <w:p w:rsidR="00066C0E" w:rsidRDefault="00066C0E" w:rsidP="00066C0E">
      <w:pPr>
        <w:pStyle w:val="ListParagraph"/>
        <w:numPr>
          <w:ilvl w:val="0"/>
          <w:numId w:val="17"/>
        </w:numPr>
        <w:spacing w:after="0"/>
        <w:jc w:val="left"/>
        <w:rPr>
          <w:rFonts w:ascii="TT1915Do00" w:eastAsia="Cambria" w:hAnsi="TT1915Do00" w:cs="TT1915Do00"/>
          <w:color w:val="auto"/>
          <w:lang w:eastAsia="en-GB"/>
        </w:rPr>
      </w:pPr>
      <w:r>
        <w:rPr>
          <w:rFonts w:ascii="TT1915Do00" w:eastAsia="Cambria" w:hAnsi="TT1915Do00" w:cs="TT1915Do00"/>
          <w:color w:val="auto"/>
          <w:lang w:eastAsia="en-GB"/>
        </w:rPr>
        <w:t>Governance and compliance risk;</w:t>
      </w:r>
    </w:p>
    <w:p w:rsidR="00066C0E" w:rsidRDefault="00066C0E" w:rsidP="00066C0E">
      <w:pPr>
        <w:pStyle w:val="ListParagraph"/>
        <w:numPr>
          <w:ilvl w:val="0"/>
          <w:numId w:val="17"/>
        </w:numPr>
        <w:spacing w:after="0"/>
        <w:jc w:val="left"/>
        <w:rPr>
          <w:rFonts w:ascii="TT1915Do00" w:eastAsia="Cambria" w:hAnsi="TT1915Do00" w:cs="TT1915Do00"/>
          <w:color w:val="auto"/>
          <w:lang w:eastAsia="en-GB"/>
        </w:rPr>
      </w:pPr>
      <w:r>
        <w:rPr>
          <w:rFonts w:ascii="TT1915Do00" w:eastAsia="Cambria" w:hAnsi="TT1915Do00" w:cs="TT1915Do00"/>
          <w:color w:val="auto"/>
          <w:lang w:eastAsia="en-GB"/>
        </w:rPr>
        <w:t>Reputational risk;</w:t>
      </w:r>
    </w:p>
    <w:p w:rsidR="00066C0E" w:rsidRPr="00066C0E" w:rsidRDefault="00066C0E" w:rsidP="00066C0E">
      <w:pPr>
        <w:pStyle w:val="ListParagraph"/>
        <w:numPr>
          <w:ilvl w:val="0"/>
          <w:numId w:val="17"/>
        </w:numPr>
        <w:spacing w:after="0"/>
        <w:jc w:val="left"/>
        <w:rPr>
          <w:rFonts w:ascii="TT1915Do00" w:eastAsia="Cambria" w:hAnsi="TT1915Do00" w:cs="TT1915Do00"/>
          <w:color w:val="auto"/>
          <w:lang w:eastAsia="en-GB"/>
        </w:rPr>
      </w:pPr>
      <w:r>
        <w:rPr>
          <w:rFonts w:ascii="TT1915Do00" w:eastAsia="Cambria" w:hAnsi="TT1915Do00" w:cs="TT1915Do00"/>
          <w:color w:val="auto"/>
          <w:lang w:eastAsia="en-GB"/>
        </w:rPr>
        <w:t>Administration risk.</w:t>
      </w:r>
    </w:p>
    <w:p w:rsidR="00066C0E" w:rsidRDefault="00066C0E" w:rsidP="00612C1F">
      <w:pPr>
        <w:spacing w:after="0"/>
        <w:jc w:val="left"/>
        <w:rPr>
          <w:rFonts w:ascii="TT1915Do00" w:eastAsia="Cambria" w:hAnsi="TT1915Do00" w:cs="TT1915Do00"/>
          <w:color w:val="auto"/>
          <w:lang w:eastAsia="en-GB"/>
        </w:rPr>
      </w:pPr>
    </w:p>
    <w:p w:rsidR="00066C0E" w:rsidRDefault="00066C0E" w:rsidP="00612C1F">
      <w:pPr>
        <w:spacing w:after="0"/>
        <w:jc w:val="left"/>
        <w:rPr>
          <w:rFonts w:ascii="TT1915Do00" w:eastAsia="Cambria" w:hAnsi="TT1915Do00" w:cs="TT1915Do00"/>
          <w:color w:val="auto"/>
          <w:lang w:eastAsia="en-GB"/>
        </w:rPr>
      </w:pPr>
      <w:r>
        <w:rPr>
          <w:rFonts w:ascii="TT1915Do00" w:eastAsia="Cambria" w:hAnsi="TT1915Do00" w:cs="TT1915Do00"/>
          <w:color w:val="auto"/>
          <w:lang w:eastAsia="en-GB"/>
        </w:rPr>
        <w:t>The measures in place to mitigate the key risks in these areas are detailed below.</w:t>
      </w:r>
    </w:p>
    <w:p w:rsidR="00066C0E" w:rsidRDefault="00066C0E" w:rsidP="00612C1F">
      <w:pPr>
        <w:spacing w:after="0"/>
        <w:jc w:val="left"/>
        <w:rPr>
          <w:rFonts w:ascii="TT1915Do00" w:eastAsia="Cambria" w:hAnsi="TT1915Do00" w:cs="TT1915Do00"/>
          <w:color w:val="auto"/>
          <w:lang w:eastAsia="en-GB"/>
        </w:rPr>
      </w:pPr>
    </w:p>
    <w:p w:rsidR="003C7613" w:rsidRDefault="003C7613" w:rsidP="00612C1F">
      <w:pPr>
        <w:spacing w:after="0"/>
        <w:jc w:val="left"/>
        <w:rPr>
          <w:rFonts w:ascii="TT1915Do00" w:eastAsia="Cambria" w:hAnsi="TT1915Do00" w:cs="TT1915Do00"/>
          <w:color w:val="auto"/>
          <w:lang w:eastAsia="en-GB"/>
        </w:rPr>
        <w:sectPr w:rsidR="003C7613" w:rsidSect="00E84ECE">
          <w:headerReference w:type="default" r:id="rId18"/>
          <w:pgSz w:w="11900" w:h="16840" w:code="9"/>
          <w:pgMar w:top="1440" w:right="1440" w:bottom="1134" w:left="1440" w:header="567" w:footer="567" w:gutter="0"/>
          <w:cols w:space="292"/>
          <w:docGrid w:linePitch="326"/>
        </w:sectPr>
      </w:pPr>
    </w:p>
    <w:p w:rsidR="00066C0E" w:rsidRDefault="006E6C3A" w:rsidP="007B798D">
      <w:pPr>
        <w:spacing w:before="120" w:after="0"/>
        <w:jc w:val="left"/>
        <w:rPr>
          <w:rFonts w:ascii="TT1915Do00" w:eastAsia="Cambria" w:hAnsi="TT1915Do00" w:cs="TT1915Do00"/>
          <w:color w:val="auto"/>
          <w:lang w:eastAsia="en-GB"/>
        </w:rPr>
      </w:pPr>
      <w:r>
        <w:rPr>
          <w:rFonts w:ascii="TT1915Do00" w:eastAsia="Cambria" w:hAnsi="TT1915Do00" w:cs="TT1915Do00"/>
          <w:color w:val="auto"/>
          <w:lang w:eastAsia="en-GB"/>
        </w:rPr>
        <w:lastRenderedPageBreak/>
        <w:t>Risk</w:t>
      </w:r>
      <w:r w:rsidR="005831BC">
        <w:rPr>
          <w:rFonts w:ascii="TT1915Do00" w:eastAsia="Cambria" w:hAnsi="TT1915Do00" w:cs="TT1915Do00"/>
          <w:color w:val="auto"/>
          <w:lang w:eastAsia="en-GB"/>
        </w:rPr>
        <w:t>s</w:t>
      </w:r>
      <w:r>
        <w:rPr>
          <w:rFonts w:ascii="TT1915Do00" w:eastAsia="Cambria" w:hAnsi="TT1915Do00" w:cs="TT1915Do00"/>
          <w:color w:val="auto"/>
          <w:lang w:eastAsia="en-GB"/>
        </w:rPr>
        <w:t xml:space="preserve"> and mitigations</w:t>
      </w:r>
    </w:p>
    <w:p w:rsidR="005831BC" w:rsidRDefault="005831BC" w:rsidP="005831BC">
      <w:pPr>
        <w:spacing w:after="0"/>
        <w:jc w:val="left"/>
        <w:rPr>
          <w:rFonts w:ascii="TT1915Do00" w:eastAsia="Cambria" w:hAnsi="TT1915Do00" w:cs="TT1915Do00"/>
          <w:color w:val="auto"/>
          <w:lang w:eastAsia="en-GB"/>
        </w:rPr>
      </w:pPr>
      <w:r>
        <w:rPr>
          <w:rFonts w:ascii="TT1915Do00" w:eastAsia="Cambria" w:hAnsi="TT1915Do00" w:cs="TT1915Do00"/>
          <w:noProof/>
          <w:color w:val="auto"/>
          <w:lang w:eastAsia="en-GB"/>
        </w:rPr>
        <w:drawing>
          <wp:inline distT="0" distB="0" distL="0" distR="0">
            <wp:extent cx="9059417" cy="5907186"/>
            <wp:effectExtent l="19050" t="0" r="8383"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srcRect/>
                    <a:stretch>
                      <a:fillRect/>
                    </a:stretch>
                  </pic:blipFill>
                  <pic:spPr bwMode="auto">
                    <a:xfrm>
                      <a:off x="0" y="0"/>
                      <a:ext cx="9058910" cy="5906856"/>
                    </a:xfrm>
                    <a:prstGeom prst="rect">
                      <a:avLst/>
                    </a:prstGeom>
                    <a:noFill/>
                    <a:ln w="9525">
                      <a:noFill/>
                      <a:miter lim="800000"/>
                      <a:headEnd/>
                      <a:tailEnd/>
                    </a:ln>
                  </pic:spPr>
                </pic:pic>
              </a:graphicData>
            </a:graphic>
          </wp:inline>
        </w:drawing>
      </w:r>
      <w:r>
        <w:rPr>
          <w:rFonts w:ascii="TT1915Do00" w:eastAsia="Cambria" w:hAnsi="TT1915Do00" w:cs="TT1915Do00"/>
          <w:color w:val="auto"/>
          <w:lang w:eastAsia="en-GB"/>
        </w:rPr>
        <w:br w:type="page"/>
      </w:r>
    </w:p>
    <w:p w:rsidR="006E6C3A" w:rsidRDefault="005831BC" w:rsidP="006362B7">
      <w:pPr>
        <w:spacing w:after="0"/>
        <w:jc w:val="left"/>
        <w:rPr>
          <w:rFonts w:ascii="TT1915Do00" w:eastAsia="Cambria" w:hAnsi="TT1915Do00" w:cs="TT1915Do00"/>
          <w:color w:val="auto"/>
          <w:lang w:eastAsia="en-GB"/>
        </w:rPr>
      </w:pPr>
      <w:r>
        <w:rPr>
          <w:rFonts w:ascii="TT1915Do00" w:eastAsia="Cambria" w:hAnsi="TT1915Do00" w:cs="TT1915Do00"/>
          <w:noProof/>
          <w:color w:val="auto"/>
          <w:lang w:eastAsia="en-GB"/>
        </w:rPr>
        <w:lastRenderedPageBreak/>
        <w:drawing>
          <wp:inline distT="0" distB="0" distL="0" distR="0">
            <wp:extent cx="9059415" cy="6141855"/>
            <wp:effectExtent l="19050" t="0" r="83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srcRect/>
                    <a:stretch>
                      <a:fillRect/>
                    </a:stretch>
                  </pic:blipFill>
                  <pic:spPr bwMode="auto">
                    <a:xfrm>
                      <a:off x="0" y="0"/>
                      <a:ext cx="9058910" cy="6141512"/>
                    </a:xfrm>
                    <a:prstGeom prst="rect">
                      <a:avLst/>
                    </a:prstGeom>
                    <a:noFill/>
                    <a:ln w="9525">
                      <a:noFill/>
                      <a:miter lim="800000"/>
                      <a:headEnd/>
                      <a:tailEnd/>
                    </a:ln>
                  </pic:spPr>
                </pic:pic>
              </a:graphicData>
            </a:graphic>
          </wp:inline>
        </w:drawing>
      </w:r>
    </w:p>
    <w:sectPr w:rsidR="006E6C3A" w:rsidSect="007B798D">
      <w:headerReference w:type="default" r:id="rId21"/>
      <w:footerReference w:type="default" r:id="rId22"/>
      <w:pgSz w:w="16840" w:h="11900" w:orient="landscape" w:code="9"/>
      <w:pgMar w:top="851" w:right="1440" w:bottom="993" w:left="1134" w:header="567" w:footer="567" w:gutter="0"/>
      <w:cols w:space="29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313" w:rsidRDefault="00170313" w:rsidP="00124FDC">
      <w:pPr>
        <w:spacing w:after="0"/>
      </w:pPr>
      <w:r>
        <w:separator/>
      </w:r>
    </w:p>
  </w:endnote>
  <w:endnote w:type="continuationSeparator" w:id="0">
    <w:p w:rsidR="00170313" w:rsidRDefault="00170313" w:rsidP="00124F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T1915E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TT1915Ao00">
    <w:panose1 w:val="00000000000000000000"/>
    <w:charset w:val="00"/>
    <w:family w:val="auto"/>
    <w:notTrueType/>
    <w:pitch w:val="default"/>
    <w:sig w:usb0="00000003" w:usb1="00000000" w:usb2="00000000" w:usb3="00000000" w:csb0="00000001" w:csb1="00000000"/>
  </w:font>
  <w:font w:name="TT1915Co00">
    <w:panose1 w:val="00000000000000000000"/>
    <w:charset w:val="00"/>
    <w:family w:val="auto"/>
    <w:notTrueType/>
    <w:pitch w:val="default"/>
    <w:sig w:usb0="00000003" w:usb1="00000000" w:usb2="00000000" w:usb3="00000000" w:csb0="00000001" w:csb1="00000000"/>
  </w:font>
  <w:font w:name="TT1915Do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shd w:val="clear" w:color="auto" w:fill="BFBFBF"/>
      <w:tblLook w:val="04A0"/>
    </w:tblPr>
    <w:tblGrid>
      <w:gridCol w:w="9236"/>
    </w:tblGrid>
    <w:tr w:rsidR="00287D86" w:rsidRPr="008E5502" w:rsidTr="00C74127">
      <w:trPr>
        <w:jc w:val="center"/>
      </w:trPr>
      <w:tc>
        <w:tcPr>
          <w:tcW w:w="5000" w:type="pct"/>
          <w:shd w:val="clear" w:color="auto" w:fill="BFBFBF"/>
        </w:tcPr>
        <w:p w:rsidR="00287D86" w:rsidRPr="008E5502" w:rsidRDefault="00287D86" w:rsidP="00DB6FF3">
          <w:pPr>
            <w:pStyle w:val="Footer"/>
          </w:pPr>
          <w:r w:rsidRPr="008E5502">
            <w:t xml:space="preserve">• </w:t>
          </w:r>
          <w:fldSimple w:instr=" PAGE   \* MERGEFORMAT ">
            <w:r w:rsidR="005B6B79">
              <w:rPr>
                <w:noProof/>
              </w:rPr>
              <w:t>23</w:t>
            </w:r>
          </w:fldSimple>
          <w:r w:rsidRPr="008E5502">
            <w:t xml:space="preserve"> •</w:t>
          </w:r>
        </w:p>
      </w:tc>
    </w:tr>
  </w:tbl>
  <w:p w:rsidR="00287D86" w:rsidRDefault="00287D86" w:rsidP="008E5502">
    <w:pPr>
      <w:pStyle w:val="ancho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shd w:val="clear" w:color="auto" w:fill="BFBFBF"/>
      <w:tblLook w:val="04A0"/>
    </w:tblPr>
    <w:tblGrid>
      <w:gridCol w:w="14482"/>
    </w:tblGrid>
    <w:tr w:rsidR="00287D86" w:rsidRPr="008E5502" w:rsidTr="00C74127">
      <w:trPr>
        <w:jc w:val="center"/>
      </w:trPr>
      <w:tc>
        <w:tcPr>
          <w:tcW w:w="5000" w:type="pct"/>
          <w:shd w:val="clear" w:color="auto" w:fill="BFBFBF"/>
        </w:tcPr>
        <w:p w:rsidR="00287D86" w:rsidRPr="008E5502" w:rsidRDefault="00287D86" w:rsidP="00DB6FF3">
          <w:pPr>
            <w:pStyle w:val="Footer"/>
          </w:pPr>
          <w:r w:rsidRPr="008E5502">
            <w:t xml:space="preserve">• </w:t>
          </w:r>
          <w:fldSimple w:instr=" PAGE   \* MERGEFORMAT ">
            <w:r w:rsidR="005B6B79">
              <w:rPr>
                <w:noProof/>
              </w:rPr>
              <w:t>25</w:t>
            </w:r>
          </w:fldSimple>
          <w:r w:rsidRPr="008E5502">
            <w:t xml:space="preserve"> •</w:t>
          </w:r>
        </w:p>
      </w:tc>
    </w:tr>
  </w:tbl>
  <w:p w:rsidR="00287D86" w:rsidRDefault="00287D86" w:rsidP="008E5502">
    <w:pPr>
      <w:pStyle w:val="ancho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313" w:rsidRDefault="00170313" w:rsidP="00124FDC">
      <w:pPr>
        <w:spacing w:after="0"/>
      </w:pPr>
      <w:r>
        <w:separator/>
      </w:r>
    </w:p>
  </w:footnote>
  <w:footnote w:type="continuationSeparator" w:id="0">
    <w:p w:rsidR="00170313" w:rsidRDefault="00170313" w:rsidP="00124F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86" w:rsidRDefault="00287D86">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5390" cy="106991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86" w:rsidRDefault="00287D86" w:rsidP="0067256D">
    <w:pPr>
      <w:pStyle w:val="Header"/>
      <w:jc w:val="right"/>
    </w:pPr>
    <w:r>
      <w:rPr>
        <w:noProof/>
        <w:lang w:eastAsia="en-GB"/>
      </w:rPr>
      <w:drawing>
        <wp:anchor distT="0" distB="0" distL="114300" distR="114300" simplePos="0" relativeHeight="251657216" behindDoc="1" locked="0" layoutInCell="1" allowOverlap="1">
          <wp:simplePos x="0" y="0"/>
          <wp:positionH relativeFrom="column">
            <wp:posOffset>-457200</wp:posOffset>
          </wp:positionH>
          <wp:positionV relativeFrom="paragraph">
            <wp:posOffset>-474980</wp:posOffset>
          </wp:positionV>
          <wp:extent cx="7568565" cy="10704830"/>
          <wp:effectExtent l="0" t="0" r="0" b="127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8565" cy="1070483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86" w:rsidRDefault="00287D86" w:rsidP="008E5502">
    <w:pPr>
      <w:pStyle w:val="ancho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shd w:val="clear" w:color="auto" w:fill="D31145"/>
      <w:tblLook w:val="04A0"/>
    </w:tblPr>
    <w:tblGrid>
      <w:gridCol w:w="9236"/>
    </w:tblGrid>
    <w:tr w:rsidR="00F21FE3" w:rsidTr="00C74127">
      <w:trPr>
        <w:jc w:val="center"/>
      </w:trPr>
      <w:tc>
        <w:tcPr>
          <w:tcW w:w="5000" w:type="pct"/>
          <w:shd w:val="clear" w:color="auto" w:fill="D31145"/>
        </w:tcPr>
        <w:p w:rsidR="00F21FE3" w:rsidRPr="00C74127" w:rsidRDefault="00F21FE3" w:rsidP="002176B8">
          <w:pPr>
            <w:pStyle w:val="Header"/>
          </w:pPr>
          <w:r>
            <w:t>Funding Strategy Statement 2013</w:t>
          </w:r>
        </w:p>
      </w:tc>
    </w:tr>
  </w:tbl>
  <w:p w:rsidR="00F21FE3" w:rsidRDefault="00F21FE3" w:rsidP="008E5502">
    <w:pPr>
      <w:pStyle w:val="ancho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shd w:val="clear" w:color="auto" w:fill="D31145"/>
      <w:tblLook w:val="04A0"/>
    </w:tblPr>
    <w:tblGrid>
      <w:gridCol w:w="14482"/>
    </w:tblGrid>
    <w:tr w:rsidR="00287D86" w:rsidTr="00C74127">
      <w:trPr>
        <w:jc w:val="center"/>
      </w:trPr>
      <w:tc>
        <w:tcPr>
          <w:tcW w:w="5000" w:type="pct"/>
          <w:shd w:val="clear" w:color="auto" w:fill="D31145"/>
        </w:tcPr>
        <w:p w:rsidR="00287D86" w:rsidRPr="00C74127" w:rsidRDefault="00287D86" w:rsidP="002176B8">
          <w:pPr>
            <w:pStyle w:val="Header"/>
          </w:pPr>
          <w:r>
            <w:t>Funding Strategy Statement 2013</w:t>
          </w:r>
        </w:p>
      </w:tc>
    </w:tr>
  </w:tbl>
  <w:p w:rsidR="00287D86" w:rsidRDefault="00287D86" w:rsidP="008E5502">
    <w:pPr>
      <w:pStyle w:val="ancho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E7D"/>
    <w:multiLevelType w:val="hybridMultilevel"/>
    <w:tmpl w:val="6A5E16A4"/>
    <w:lvl w:ilvl="0" w:tplc="08090019">
      <w:start w:val="1"/>
      <w:numFmt w:val="lowerLetter"/>
      <w:lvlText w:val="%1."/>
      <w:lvlJc w:val="left"/>
      <w:pPr>
        <w:ind w:left="360" w:hanging="360"/>
      </w:pPr>
    </w:lvl>
    <w:lvl w:ilvl="1" w:tplc="08090019">
      <w:start w:val="1"/>
      <w:numFmt w:val="decimal"/>
      <w:lvlText w:val="%2."/>
      <w:lvlJc w:val="left"/>
      <w:pPr>
        <w:tabs>
          <w:tab w:val="num" w:pos="1364"/>
        </w:tabs>
        <w:ind w:left="1364" w:hanging="360"/>
      </w:pPr>
    </w:lvl>
    <w:lvl w:ilvl="2" w:tplc="0809001B">
      <w:start w:val="1"/>
      <w:numFmt w:val="decimal"/>
      <w:lvlText w:val="%3."/>
      <w:lvlJc w:val="left"/>
      <w:pPr>
        <w:tabs>
          <w:tab w:val="num" w:pos="2084"/>
        </w:tabs>
        <w:ind w:left="2084" w:hanging="360"/>
      </w:pPr>
    </w:lvl>
    <w:lvl w:ilvl="3" w:tplc="0809000F">
      <w:start w:val="1"/>
      <w:numFmt w:val="decimal"/>
      <w:lvlText w:val="%4."/>
      <w:lvlJc w:val="left"/>
      <w:pPr>
        <w:tabs>
          <w:tab w:val="num" w:pos="2804"/>
        </w:tabs>
        <w:ind w:left="2804" w:hanging="360"/>
      </w:pPr>
    </w:lvl>
    <w:lvl w:ilvl="4" w:tplc="08090019">
      <w:start w:val="1"/>
      <w:numFmt w:val="decimal"/>
      <w:lvlText w:val="%5."/>
      <w:lvlJc w:val="left"/>
      <w:pPr>
        <w:tabs>
          <w:tab w:val="num" w:pos="3524"/>
        </w:tabs>
        <w:ind w:left="3524" w:hanging="360"/>
      </w:pPr>
    </w:lvl>
    <w:lvl w:ilvl="5" w:tplc="0809001B">
      <w:start w:val="1"/>
      <w:numFmt w:val="decimal"/>
      <w:lvlText w:val="%6."/>
      <w:lvlJc w:val="left"/>
      <w:pPr>
        <w:tabs>
          <w:tab w:val="num" w:pos="4244"/>
        </w:tabs>
        <w:ind w:left="4244" w:hanging="360"/>
      </w:pPr>
    </w:lvl>
    <w:lvl w:ilvl="6" w:tplc="0809000F">
      <w:start w:val="1"/>
      <w:numFmt w:val="decimal"/>
      <w:lvlText w:val="%7."/>
      <w:lvlJc w:val="left"/>
      <w:pPr>
        <w:tabs>
          <w:tab w:val="num" w:pos="4964"/>
        </w:tabs>
        <w:ind w:left="4964" w:hanging="360"/>
      </w:pPr>
    </w:lvl>
    <w:lvl w:ilvl="7" w:tplc="08090019">
      <w:start w:val="1"/>
      <w:numFmt w:val="decimal"/>
      <w:lvlText w:val="%8."/>
      <w:lvlJc w:val="left"/>
      <w:pPr>
        <w:tabs>
          <w:tab w:val="num" w:pos="5684"/>
        </w:tabs>
        <w:ind w:left="5684" w:hanging="360"/>
      </w:pPr>
    </w:lvl>
    <w:lvl w:ilvl="8" w:tplc="0809001B">
      <w:start w:val="1"/>
      <w:numFmt w:val="decimal"/>
      <w:lvlText w:val="%9."/>
      <w:lvlJc w:val="left"/>
      <w:pPr>
        <w:tabs>
          <w:tab w:val="num" w:pos="6404"/>
        </w:tabs>
        <w:ind w:left="6404" w:hanging="360"/>
      </w:pPr>
    </w:lvl>
  </w:abstractNum>
  <w:abstractNum w:abstractNumId="1">
    <w:nsid w:val="0BAE494C"/>
    <w:multiLevelType w:val="hybridMultilevel"/>
    <w:tmpl w:val="648E0ED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nsid w:val="11F10978"/>
    <w:multiLevelType w:val="hybridMultilevel"/>
    <w:tmpl w:val="C02045C4"/>
    <w:lvl w:ilvl="0" w:tplc="08090005">
      <w:start w:val="1"/>
      <w:numFmt w:val="bullet"/>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nsid w:val="174F6F21"/>
    <w:multiLevelType w:val="multilevel"/>
    <w:tmpl w:val="EC42485A"/>
    <w:lvl w:ilvl="0">
      <w:start w:val="1"/>
      <w:numFmt w:val="decimal"/>
      <w:pStyle w:val="Bullet4"/>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291B8E"/>
    <w:multiLevelType w:val="hybridMultilevel"/>
    <w:tmpl w:val="B3240372"/>
    <w:lvl w:ilvl="0" w:tplc="08090005">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
    <w:nsid w:val="1B693E77"/>
    <w:multiLevelType w:val="hybridMultilevel"/>
    <w:tmpl w:val="473C18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C6668A"/>
    <w:multiLevelType w:val="hybridMultilevel"/>
    <w:tmpl w:val="270AED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551652"/>
    <w:multiLevelType w:val="hybridMultilevel"/>
    <w:tmpl w:val="F39A0F1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2FEB08A8"/>
    <w:multiLevelType w:val="hybridMultilevel"/>
    <w:tmpl w:val="844CDCD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nsid w:val="3DB460F8"/>
    <w:multiLevelType w:val="multilevel"/>
    <w:tmpl w:val="D234C816"/>
    <w:lvl w:ilvl="0">
      <w:start w:val="1"/>
      <w:numFmt w:val="decimal"/>
      <w:lvlText w:val=" %1"/>
      <w:lvlJc w:val="left"/>
      <w:pPr>
        <w:tabs>
          <w:tab w:val="num" w:pos="720"/>
        </w:tabs>
        <w:ind w:left="720" w:hanging="720"/>
      </w:pPr>
      <w:rPr>
        <w:rFonts w:hint="default"/>
        <w:b w:val="0"/>
        <w:i w:val="0"/>
      </w:rPr>
    </w:lvl>
    <w:lvl w:ilvl="1">
      <w:start w:val="1"/>
      <w:numFmt w:val="decimal"/>
      <w:pStyle w:val="OutlineNum2"/>
      <w:lvlText w:val="%1.%2"/>
      <w:lvlJc w:val="left"/>
      <w:pPr>
        <w:tabs>
          <w:tab w:val="num" w:pos="720"/>
        </w:tabs>
        <w:ind w:left="720" w:hanging="720"/>
      </w:pPr>
      <w:rPr>
        <w:rFonts w:ascii="Arial" w:hAnsi="Arial" w:hint="default"/>
        <w:b w:val="0"/>
        <w:i w:val="0"/>
        <w:sz w:val="22"/>
        <w:szCs w:val="22"/>
      </w:rPr>
    </w:lvl>
    <w:lvl w:ilvl="2">
      <w:start w:val="1"/>
      <w:numFmt w:val="decimal"/>
      <w:pStyle w:val="OutlineNum3"/>
      <w:lvlText w:val="%1.%2.%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DB6284F"/>
    <w:multiLevelType w:val="hybridMultilevel"/>
    <w:tmpl w:val="55FACDCA"/>
    <w:lvl w:ilvl="0" w:tplc="08090005">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2">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2516F54"/>
    <w:multiLevelType w:val="hybridMultilevel"/>
    <w:tmpl w:val="51F800D6"/>
    <w:lvl w:ilvl="0" w:tplc="08090005">
      <w:start w:val="1"/>
      <w:numFmt w:val="bullet"/>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4">
    <w:nsid w:val="42EC197D"/>
    <w:multiLevelType w:val="hybridMultilevel"/>
    <w:tmpl w:val="0012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E362FE"/>
    <w:multiLevelType w:val="hybridMultilevel"/>
    <w:tmpl w:val="ECAE78E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496B5006"/>
    <w:multiLevelType w:val="multilevel"/>
    <w:tmpl w:val="987AF382"/>
    <w:lvl w:ilvl="0">
      <w:start w:val="1"/>
      <w:numFmt w:val="bullet"/>
      <w:pStyle w:val="ListBullet"/>
      <w:lvlText w:val=""/>
      <w:lvlJc w:val="left"/>
      <w:pPr>
        <w:tabs>
          <w:tab w:val="num" w:pos="1080"/>
        </w:tabs>
        <w:ind w:left="1077" w:hanging="357"/>
      </w:pPr>
      <w:rPr>
        <w:rFonts w:ascii="Wingdings" w:hAnsi="Wingdings" w:hint="default"/>
        <w:sz w:val="22"/>
        <w:szCs w:val="22"/>
      </w:rPr>
    </w:lvl>
    <w:lvl w:ilvl="1">
      <w:start w:val="1"/>
      <w:numFmt w:val="bullet"/>
      <w:pStyle w:val="ListBullet2"/>
      <w:lvlText w:val=""/>
      <w:lvlJc w:val="left"/>
      <w:pPr>
        <w:tabs>
          <w:tab w:val="num" w:pos="1440"/>
        </w:tabs>
        <w:ind w:left="1440" w:hanging="360"/>
      </w:pPr>
      <w:rPr>
        <w:rFonts w:ascii="Wingdings" w:hAnsi="Wingdings" w:hint="default"/>
        <w:sz w:val="20"/>
      </w:rPr>
    </w:lvl>
    <w:lvl w:ilvl="2">
      <w:start w:val="1"/>
      <w:numFmt w:val="bullet"/>
      <w:pStyle w:val="ListBullet3"/>
      <w:lvlText w:val=""/>
      <w:lvlJc w:val="left"/>
      <w:pPr>
        <w:tabs>
          <w:tab w:val="num" w:pos="1800"/>
        </w:tabs>
        <w:ind w:left="1800" w:hanging="360"/>
      </w:pPr>
      <w:rPr>
        <w:rFonts w:ascii="Wingdings" w:hAnsi="Wingdings" w:hint="default"/>
        <w:sz w:val="20"/>
      </w:rPr>
    </w:lvl>
    <w:lvl w:ilvl="3">
      <w:start w:val="1"/>
      <w:numFmt w:val="bullet"/>
      <w:pStyle w:val="ListBullet4"/>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2704"/>
        </w:tabs>
        <w:ind w:left="2704" w:hanging="397"/>
      </w:pPr>
      <w:rPr>
        <w:rFonts w:ascii="Wingdings" w:hAnsi="Wingdings" w:hint="default"/>
      </w:rPr>
    </w:lvl>
    <w:lvl w:ilvl="5">
      <w:start w:val="1"/>
      <w:numFmt w:val="bullet"/>
      <w:lvlText w:val="»"/>
      <w:lvlJc w:val="left"/>
      <w:pPr>
        <w:tabs>
          <w:tab w:val="num" w:pos="3101"/>
        </w:tabs>
        <w:ind w:left="3101" w:hanging="397"/>
      </w:pPr>
      <w:rPr>
        <w:rFonts w:ascii="Times New Roman" w:hAnsi="Times New Roman" w:hint="default"/>
      </w:rPr>
    </w:lvl>
    <w:lvl w:ilvl="6">
      <w:start w:val="1"/>
      <w:numFmt w:val="bullet"/>
      <w:lvlText w:val=""/>
      <w:lvlJc w:val="left"/>
      <w:pPr>
        <w:tabs>
          <w:tab w:val="num" w:pos="3498"/>
        </w:tabs>
        <w:ind w:left="3498" w:hanging="397"/>
      </w:pPr>
      <w:rPr>
        <w:rFonts w:ascii="Symbol" w:hAnsi="Symbol" w:hint="default"/>
      </w:rPr>
    </w:lvl>
    <w:lvl w:ilvl="7">
      <w:start w:val="1"/>
      <w:numFmt w:val="bullet"/>
      <w:lvlText w:val="¤"/>
      <w:lvlJc w:val="left"/>
      <w:pPr>
        <w:tabs>
          <w:tab w:val="num" w:pos="3895"/>
        </w:tabs>
        <w:ind w:left="3895" w:hanging="397"/>
      </w:pPr>
      <w:rPr>
        <w:rFonts w:ascii="Times New Roman" w:hAnsi="Times New Roman" w:hint="default"/>
      </w:rPr>
    </w:lvl>
    <w:lvl w:ilvl="8">
      <w:start w:val="1"/>
      <w:numFmt w:val="bullet"/>
      <w:lvlText w:val=""/>
      <w:lvlJc w:val="left"/>
      <w:pPr>
        <w:tabs>
          <w:tab w:val="num" w:pos="4292"/>
        </w:tabs>
        <w:ind w:left="4292" w:hanging="397"/>
      </w:pPr>
      <w:rPr>
        <w:rFonts w:ascii="Wingdings" w:hAnsi="Wingdings" w:hint="default"/>
      </w:rPr>
    </w:lvl>
  </w:abstractNum>
  <w:abstractNum w:abstractNumId="17">
    <w:nsid w:val="51AF7FB4"/>
    <w:multiLevelType w:val="hybridMultilevel"/>
    <w:tmpl w:val="F52C2C7C"/>
    <w:lvl w:ilvl="0" w:tplc="4EE8A674">
      <w:start w:val="1"/>
      <w:numFmt w:val="bullet"/>
      <w:lvlText w:val="•"/>
      <w:lvlJc w:val="left"/>
      <w:pPr>
        <w:ind w:left="927" w:hanging="360"/>
      </w:pPr>
      <w:rPr>
        <w:rFonts w:ascii="TT1915Eo00" w:eastAsia="Cambria" w:hAnsi="TT1915Eo00" w:cs="TT1915Eo00"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63F759CD"/>
    <w:multiLevelType w:val="hybridMultilevel"/>
    <w:tmpl w:val="6FF22088"/>
    <w:lvl w:ilvl="0" w:tplc="7A102F2C">
      <w:start w:val="1"/>
      <w:numFmt w:val="decimal"/>
      <w:pStyle w:val="Heading4"/>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64C77DA0"/>
    <w:multiLevelType w:val="singleLevel"/>
    <w:tmpl w:val="FFF2907A"/>
    <w:lvl w:ilvl="0">
      <w:start w:val="1"/>
      <w:numFmt w:val="bullet"/>
      <w:lvlText w:val=""/>
      <w:lvlJc w:val="left"/>
      <w:pPr>
        <w:tabs>
          <w:tab w:val="num" w:pos="360"/>
        </w:tabs>
        <w:ind w:left="360" w:hanging="360"/>
      </w:pPr>
      <w:rPr>
        <w:rFonts w:ascii="Symbol" w:hAnsi="Symbol" w:hint="default"/>
      </w:rPr>
    </w:lvl>
  </w:abstractNum>
  <w:abstractNum w:abstractNumId="20">
    <w:nsid w:val="66075A2B"/>
    <w:multiLevelType w:val="singleLevel"/>
    <w:tmpl w:val="FFF2907A"/>
    <w:lvl w:ilvl="0">
      <w:start w:val="1"/>
      <w:numFmt w:val="bullet"/>
      <w:lvlText w:val=""/>
      <w:lvlJc w:val="left"/>
      <w:pPr>
        <w:tabs>
          <w:tab w:val="num" w:pos="360"/>
        </w:tabs>
        <w:ind w:left="360" w:hanging="360"/>
      </w:pPr>
      <w:rPr>
        <w:rFonts w:ascii="Symbol" w:hAnsi="Symbol" w:hint="default"/>
      </w:rPr>
    </w:lvl>
  </w:abstractNum>
  <w:abstractNum w:abstractNumId="21">
    <w:nsid w:val="69E0138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2">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F7B6D5D"/>
    <w:multiLevelType w:val="singleLevel"/>
    <w:tmpl w:val="C6F41AE2"/>
    <w:lvl w:ilvl="0">
      <w:start w:val="1"/>
      <w:numFmt w:val="decimal"/>
      <w:lvlText w:val="%1."/>
      <w:lvlJc w:val="left"/>
      <w:pPr>
        <w:tabs>
          <w:tab w:val="num" w:pos="360"/>
        </w:tabs>
        <w:ind w:left="360" w:hanging="360"/>
      </w:pPr>
      <w:rPr>
        <w:rFonts w:ascii="Arial" w:hAnsi="Arial" w:cs="Times New Roman" w:hint="default"/>
        <w:b/>
        <w:i w:val="0"/>
        <w:sz w:val="20"/>
      </w:rPr>
    </w:lvl>
  </w:abstractNum>
  <w:num w:numId="1">
    <w:abstractNumId w:val="9"/>
  </w:num>
  <w:num w:numId="2">
    <w:abstractNumId w:val="12"/>
  </w:num>
  <w:num w:numId="3">
    <w:abstractNumId w:val="22"/>
  </w:num>
  <w:num w:numId="4">
    <w:abstractNumId w:val="18"/>
  </w:num>
  <w:num w:numId="5">
    <w:abstractNumId w:val="3"/>
  </w:num>
  <w:num w:numId="6">
    <w:abstractNumId w:val="1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num>
  <w:num w:numId="10">
    <w:abstractNumId w:val="20"/>
  </w:num>
  <w:num w:numId="11">
    <w:abstractNumId w:val="5"/>
  </w:num>
  <w:num w:numId="12">
    <w:abstractNumId w:val="6"/>
  </w:num>
  <w:num w:numId="13">
    <w:abstractNumId w:val="18"/>
  </w:num>
  <w:num w:numId="14">
    <w:abstractNumId w:val="17"/>
  </w:num>
  <w:num w:numId="15">
    <w:abstractNumId w:val="0"/>
  </w:num>
  <w:num w:numId="16">
    <w:abstractNumId w:val="15"/>
  </w:num>
  <w:num w:numId="17">
    <w:abstractNumId w:val="14"/>
  </w:num>
  <w:num w:numId="18">
    <w:abstractNumId w:val="10"/>
  </w:num>
  <w:num w:numId="19">
    <w:abstractNumId w:val="1"/>
  </w:num>
  <w:num w:numId="20">
    <w:abstractNumId w:val="13"/>
  </w:num>
  <w:num w:numId="21">
    <w:abstractNumId w:val="4"/>
  </w:num>
  <w:num w:numId="22">
    <w:abstractNumId w:val="11"/>
  </w:num>
  <w:num w:numId="23">
    <w:abstractNumId w:val="2"/>
  </w:num>
  <w:num w:numId="24">
    <w:abstractNumId w:val="21"/>
  </w:num>
  <w:num w:numId="25">
    <w:abstractNumId w:val="8"/>
  </w:num>
  <w:num w:numId="26">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isplayBackgroundShape/>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7409">
      <o:colormru v:ext="edit" colors="#d31145,#fffddf,#ffecd6"/>
    </o:shapedefaults>
  </w:hdrShapeDefaults>
  <w:footnotePr>
    <w:footnote w:id="-1"/>
    <w:footnote w:id="0"/>
  </w:footnotePr>
  <w:endnotePr>
    <w:endnote w:id="-1"/>
    <w:endnote w:id="0"/>
  </w:endnotePr>
  <w:compat/>
  <w:rsids>
    <w:rsidRoot w:val="00612C1F"/>
    <w:rsid w:val="00000CB1"/>
    <w:rsid w:val="00002B14"/>
    <w:rsid w:val="0001341B"/>
    <w:rsid w:val="0002009B"/>
    <w:rsid w:val="00021D03"/>
    <w:rsid w:val="000248C6"/>
    <w:rsid w:val="00025715"/>
    <w:rsid w:val="0004609F"/>
    <w:rsid w:val="00054C03"/>
    <w:rsid w:val="0005640D"/>
    <w:rsid w:val="00066C0E"/>
    <w:rsid w:val="000701AB"/>
    <w:rsid w:val="0007606B"/>
    <w:rsid w:val="0008360D"/>
    <w:rsid w:val="00092756"/>
    <w:rsid w:val="0009438D"/>
    <w:rsid w:val="000A142E"/>
    <w:rsid w:val="000A1E1B"/>
    <w:rsid w:val="000A3BD2"/>
    <w:rsid w:val="000B11F8"/>
    <w:rsid w:val="000B29E0"/>
    <w:rsid w:val="000C0C4A"/>
    <w:rsid w:val="000C6772"/>
    <w:rsid w:val="000D15C8"/>
    <w:rsid w:val="000D3601"/>
    <w:rsid w:val="000D4873"/>
    <w:rsid w:val="000D4BF2"/>
    <w:rsid w:val="000E00B0"/>
    <w:rsid w:val="000F2763"/>
    <w:rsid w:val="000F2931"/>
    <w:rsid w:val="001001D6"/>
    <w:rsid w:val="00105FB0"/>
    <w:rsid w:val="00112B05"/>
    <w:rsid w:val="001178FF"/>
    <w:rsid w:val="001212E3"/>
    <w:rsid w:val="001248E1"/>
    <w:rsid w:val="00124FDC"/>
    <w:rsid w:val="001318F2"/>
    <w:rsid w:val="0013631B"/>
    <w:rsid w:val="00142E26"/>
    <w:rsid w:val="00145C7C"/>
    <w:rsid w:val="0015063B"/>
    <w:rsid w:val="00157938"/>
    <w:rsid w:val="00157CEA"/>
    <w:rsid w:val="0016157E"/>
    <w:rsid w:val="00165163"/>
    <w:rsid w:val="00170313"/>
    <w:rsid w:val="00174280"/>
    <w:rsid w:val="0017632B"/>
    <w:rsid w:val="001873E0"/>
    <w:rsid w:val="001A134C"/>
    <w:rsid w:val="001A3B25"/>
    <w:rsid w:val="001A5E75"/>
    <w:rsid w:val="001B57DD"/>
    <w:rsid w:val="001D6C4E"/>
    <w:rsid w:val="001E22B3"/>
    <w:rsid w:val="001E417F"/>
    <w:rsid w:val="001E7EF0"/>
    <w:rsid w:val="001F679F"/>
    <w:rsid w:val="00210D52"/>
    <w:rsid w:val="00214801"/>
    <w:rsid w:val="002176B8"/>
    <w:rsid w:val="00222D1E"/>
    <w:rsid w:val="00227E9E"/>
    <w:rsid w:val="002338EC"/>
    <w:rsid w:val="002345FB"/>
    <w:rsid w:val="002415BE"/>
    <w:rsid w:val="002460DA"/>
    <w:rsid w:val="002578B8"/>
    <w:rsid w:val="0026678D"/>
    <w:rsid w:val="00267E3B"/>
    <w:rsid w:val="0027248E"/>
    <w:rsid w:val="00275B89"/>
    <w:rsid w:val="00285898"/>
    <w:rsid w:val="00287D86"/>
    <w:rsid w:val="002918E8"/>
    <w:rsid w:val="002A0203"/>
    <w:rsid w:val="002A3292"/>
    <w:rsid w:val="002A6DE2"/>
    <w:rsid w:val="002B6FC4"/>
    <w:rsid w:val="002B7B22"/>
    <w:rsid w:val="002C4196"/>
    <w:rsid w:val="002D1BFC"/>
    <w:rsid w:val="002D5781"/>
    <w:rsid w:val="002E0CED"/>
    <w:rsid w:val="002E5340"/>
    <w:rsid w:val="002F1044"/>
    <w:rsid w:val="002F4AF1"/>
    <w:rsid w:val="003006E7"/>
    <w:rsid w:val="003022F2"/>
    <w:rsid w:val="00303427"/>
    <w:rsid w:val="003059E8"/>
    <w:rsid w:val="00313657"/>
    <w:rsid w:val="003218D4"/>
    <w:rsid w:val="0032276D"/>
    <w:rsid w:val="0032298A"/>
    <w:rsid w:val="00325446"/>
    <w:rsid w:val="00325CF6"/>
    <w:rsid w:val="00326867"/>
    <w:rsid w:val="003321F2"/>
    <w:rsid w:val="003348C9"/>
    <w:rsid w:val="00334FD0"/>
    <w:rsid w:val="003350AF"/>
    <w:rsid w:val="00340774"/>
    <w:rsid w:val="00350F56"/>
    <w:rsid w:val="0035118C"/>
    <w:rsid w:val="00352C6F"/>
    <w:rsid w:val="00365825"/>
    <w:rsid w:val="00371BC0"/>
    <w:rsid w:val="00375274"/>
    <w:rsid w:val="00386B6C"/>
    <w:rsid w:val="00394975"/>
    <w:rsid w:val="00395607"/>
    <w:rsid w:val="003A52EF"/>
    <w:rsid w:val="003A55F8"/>
    <w:rsid w:val="003A7DCB"/>
    <w:rsid w:val="003B06EC"/>
    <w:rsid w:val="003B0C73"/>
    <w:rsid w:val="003B77BD"/>
    <w:rsid w:val="003C5D0D"/>
    <w:rsid w:val="003C7613"/>
    <w:rsid w:val="003D1166"/>
    <w:rsid w:val="003E1CEE"/>
    <w:rsid w:val="003E4C50"/>
    <w:rsid w:val="003E65E9"/>
    <w:rsid w:val="003E743D"/>
    <w:rsid w:val="003F55B6"/>
    <w:rsid w:val="00414BF8"/>
    <w:rsid w:val="00424E57"/>
    <w:rsid w:val="0042503D"/>
    <w:rsid w:val="00437E45"/>
    <w:rsid w:val="00442270"/>
    <w:rsid w:val="0044589D"/>
    <w:rsid w:val="00451CE6"/>
    <w:rsid w:val="004533FD"/>
    <w:rsid w:val="00460798"/>
    <w:rsid w:val="00472A0F"/>
    <w:rsid w:val="00475611"/>
    <w:rsid w:val="00487350"/>
    <w:rsid w:val="004A4F18"/>
    <w:rsid w:val="004B573E"/>
    <w:rsid w:val="004C22BB"/>
    <w:rsid w:val="004C2626"/>
    <w:rsid w:val="004D0F2F"/>
    <w:rsid w:val="004E3523"/>
    <w:rsid w:val="004F4F4A"/>
    <w:rsid w:val="004F7221"/>
    <w:rsid w:val="005001EC"/>
    <w:rsid w:val="00502AA2"/>
    <w:rsid w:val="005107F5"/>
    <w:rsid w:val="00510A25"/>
    <w:rsid w:val="00511F5D"/>
    <w:rsid w:val="00516099"/>
    <w:rsid w:val="00516FCA"/>
    <w:rsid w:val="00531F2A"/>
    <w:rsid w:val="005331E8"/>
    <w:rsid w:val="00533982"/>
    <w:rsid w:val="005360E5"/>
    <w:rsid w:val="0054261B"/>
    <w:rsid w:val="00553EFD"/>
    <w:rsid w:val="005546BD"/>
    <w:rsid w:val="005602EE"/>
    <w:rsid w:val="00562427"/>
    <w:rsid w:val="00563A61"/>
    <w:rsid w:val="00565DCE"/>
    <w:rsid w:val="00565DF7"/>
    <w:rsid w:val="005802F2"/>
    <w:rsid w:val="005831BC"/>
    <w:rsid w:val="00590127"/>
    <w:rsid w:val="00591F1A"/>
    <w:rsid w:val="00594064"/>
    <w:rsid w:val="005A4493"/>
    <w:rsid w:val="005A6BE8"/>
    <w:rsid w:val="005B6B79"/>
    <w:rsid w:val="005C14AC"/>
    <w:rsid w:val="005C38AB"/>
    <w:rsid w:val="005C5693"/>
    <w:rsid w:val="005E69B0"/>
    <w:rsid w:val="005E6D70"/>
    <w:rsid w:val="005F0A9A"/>
    <w:rsid w:val="005F1F62"/>
    <w:rsid w:val="00602D56"/>
    <w:rsid w:val="006067A4"/>
    <w:rsid w:val="0061106D"/>
    <w:rsid w:val="00612C1F"/>
    <w:rsid w:val="006208E7"/>
    <w:rsid w:val="0062134E"/>
    <w:rsid w:val="006226CB"/>
    <w:rsid w:val="00634B6B"/>
    <w:rsid w:val="006362B7"/>
    <w:rsid w:val="006373AE"/>
    <w:rsid w:val="00640C0A"/>
    <w:rsid w:val="00641054"/>
    <w:rsid w:val="00642CD8"/>
    <w:rsid w:val="00650336"/>
    <w:rsid w:val="00654564"/>
    <w:rsid w:val="006549D3"/>
    <w:rsid w:val="006573DF"/>
    <w:rsid w:val="00657E34"/>
    <w:rsid w:val="00660293"/>
    <w:rsid w:val="00661D01"/>
    <w:rsid w:val="00663E2A"/>
    <w:rsid w:val="0067256D"/>
    <w:rsid w:val="00675165"/>
    <w:rsid w:val="00675B77"/>
    <w:rsid w:val="006803D3"/>
    <w:rsid w:val="006836D8"/>
    <w:rsid w:val="00684B24"/>
    <w:rsid w:val="006851D4"/>
    <w:rsid w:val="006A3BC0"/>
    <w:rsid w:val="006A7810"/>
    <w:rsid w:val="006B1F53"/>
    <w:rsid w:val="006C210D"/>
    <w:rsid w:val="006C4F7E"/>
    <w:rsid w:val="006D7BB1"/>
    <w:rsid w:val="006E349B"/>
    <w:rsid w:val="006E38AF"/>
    <w:rsid w:val="006E4A0D"/>
    <w:rsid w:val="006E59B1"/>
    <w:rsid w:val="006E6C3A"/>
    <w:rsid w:val="006F4002"/>
    <w:rsid w:val="006F6CE6"/>
    <w:rsid w:val="00711651"/>
    <w:rsid w:val="00716937"/>
    <w:rsid w:val="00717052"/>
    <w:rsid w:val="00730B2B"/>
    <w:rsid w:val="00736579"/>
    <w:rsid w:val="00737491"/>
    <w:rsid w:val="007423F7"/>
    <w:rsid w:val="00742F13"/>
    <w:rsid w:val="00744E75"/>
    <w:rsid w:val="00745B0F"/>
    <w:rsid w:val="0074629D"/>
    <w:rsid w:val="007468E3"/>
    <w:rsid w:val="00750649"/>
    <w:rsid w:val="00753FFD"/>
    <w:rsid w:val="007579B9"/>
    <w:rsid w:val="00770CBB"/>
    <w:rsid w:val="0077399D"/>
    <w:rsid w:val="00782BD5"/>
    <w:rsid w:val="00784105"/>
    <w:rsid w:val="00784BFA"/>
    <w:rsid w:val="007871E4"/>
    <w:rsid w:val="00787E2F"/>
    <w:rsid w:val="00790BCB"/>
    <w:rsid w:val="00795732"/>
    <w:rsid w:val="00797100"/>
    <w:rsid w:val="007A5DF9"/>
    <w:rsid w:val="007A6F6C"/>
    <w:rsid w:val="007A7D0A"/>
    <w:rsid w:val="007B5C1B"/>
    <w:rsid w:val="007B798D"/>
    <w:rsid w:val="007D4DD7"/>
    <w:rsid w:val="007E1CBA"/>
    <w:rsid w:val="007E1FED"/>
    <w:rsid w:val="007E4874"/>
    <w:rsid w:val="007E778D"/>
    <w:rsid w:val="007F0E6B"/>
    <w:rsid w:val="007F158D"/>
    <w:rsid w:val="007F2F1B"/>
    <w:rsid w:val="00800270"/>
    <w:rsid w:val="00813CEC"/>
    <w:rsid w:val="00816673"/>
    <w:rsid w:val="00817D25"/>
    <w:rsid w:val="00843FA3"/>
    <w:rsid w:val="00846066"/>
    <w:rsid w:val="00846AEA"/>
    <w:rsid w:val="00846DAF"/>
    <w:rsid w:val="00850008"/>
    <w:rsid w:val="008656E7"/>
    <w:rsid w:val="008707EB"/>
    <w:rsid w:val="00873DF0"/>
    <w:rsid w:val="00874FCD"/>
    <w:rsid w:val="0088225E"/>
    <w:rsid w:val="0088444B"/>
    <w:rsid w:val="00886A5B"/>
    <w:rsid w:val="00887C6E"/>
    <w:rsid w:val="008A2845"/>
    <w:rsid w:val="008A301D"/>
    <w:rsid w:val="008C3748"/>
    <w:rsid w:val="008D4B18"/>
    <w:rsid w:val="008D4FF6"/>
    <w:rsid w:val="008D5152"/>
    <w:rsid w:val="008D6E36"/>
    <w:rsid w:val="008E11C5"/>
    <w:rsid w:val="008E5502"/>
    <w:rsid w:val="008F0A35"/>
    <w:rsid w:val="008F44ED"/>
    <w:rsid w:val="009012FB"/>
    <w:rsid w:val="009028CB"/>
    <w:rsid w:val="00912379"/>
    <w:rsid w:val="00914EC4"/>
    <w:rsid w:val="00915BA9"/>
    <w:rsid w:val="00917036"/>
    <w:rsid w:val="0092413A"/>
    <w:rsid w:val="00926AF1"/>
    <w:rsid w:val="00930A65"/>
    <w:rsid w:val="00932A59"/>
    <w:rsid w:val="009337DD"/>
    <w:rsid w:val="009343D3"/>
    <w:rsid w:val="00937EE0"/>
    <w:rsid w:val="009427DA"/>
    <w:rsid w:val="00942AF1"/>
    <w:rsid w:val="00942BC2"/>
    <w:rsid w:val="009554C0"/>
    <w:rsid w:val="00961639"/>
    <w:rsid w:val="0096401E"/>
    <w:rsid w:val="00964B33"/>
    <w:rsid w:val="009652E6"/>
    <w:rsid w:val="009677B6"/>
    <w:rsid w:val="00971041"/>
    <w:rsid w:val="0097644D"/>
    <w:rsid w:val="00980C35"/>
    <w:rsid w:val="009837B1"/>
    <w:rsid w:val="0099351B"/>
    <w:rsid w:val="00994E2D"/>
    <w:rsid w:val="00996E68"/>
    <w:rsid w:val="009A45BC"/>
    <w:rsid w:val="009A49D9"/>
    <w:rsid w:val="009B36E3"/>
    <w:rsid w:val="009C1250"/>
    <w:rsid w:val="009C33F5"/>
    <w:rsid w:val="009C4C42"/>
    <w:rsid w:val="009C760E"/>
    <w:rsid w:val="009D4341"/>
    <w:rsid w:val="009D6EAC"/>
    <w:rsid w:val="009E39D7"/>
    <w:rsid w:val="009E5890"/>
    <w:rsid w:val="009E6314"/>
    <w:rsid w:val="009E65C2"/>
    <w:rsid w:val="009E7619"/>
    <w:rsid w:val="009F4CEB"/>
    <w:rsid w:val="009F6553"/>
    <w:rsid w:val="009F6B07"/>
    <w:rsid w:val="00A0563B"/>
    <w:rsid w:val="00A07590"/>
    <w:rsid w:val="00A07B04"/>
    <w:rsid w:val="00A33695"/>
    <w:rsid w:val="00A33DBA"/>
    <w:rsid w:val="00A43A8C"/>
    <w:rsid w:val="00A467F4"/>
    <w:rsid w:val="00A5001C"/>
    <w:rsid w:val="00A5127C"/>
    <w:rsid w:val="00A51A78"/>
    <w:rsid w:val="00A55927"/>
    <w:rsid w:val="00A63598"/>
    <w:rsid w:val="00A63984"/>
    <w:rsid w:val="00A67398"/>
    <w:rsid w:val="00A742E7"/>
    <w:rsid w:val="00A75E7D"/>
    <w:rsid w:val="00A76229"/>
    <w:rsid w:val="00A87D18"/>
    <w:rsid w:val="00A913E7"/>
    <w:rsid w:val="00A9462E"/>
    <w:rsid w:val="00A96454"/>
    <w:rsid w:val="00AB4059"/>
    <w:rsid w:val="00AB4388"/>
    <w:rsid w:val="00AB5928"/>
    <w:rsid w:val="00AB5CBE"/>
    <w:rsid w:val="00AB6B55"/>
    <w:rsid w:val="00AC24DC"/>
    <w:rsid w:val="00AC729D"/>
    <w:rsid w:val="00AE0D12"/>
    <w:rsid w:val="00AE22F5"/>
    <w:rsid w:val="00AE50AD"/>
    <w:rsid w:val="00AF2DFA"/>
    <w:rsid w:val="00AF715E"/>
    <w:rsid w:val="00AF7413"/>
    <w:rsid w:val="00B0026F"/>
    <w:rsid w:val="00B02322"/>
    <w:rsid w:val="00B06F0A"/>
    <w:rsid w:val="00B10F0A"/>
    <w:rsid w:val="00B14367"/>
    <w:rsid w:val="00B16B86"/>
    <w:rsid w:val="00B21BF4"/>
    <w:rsid w:val="00B236CE"/>
    <w:rsid w:val="00B36058"/>
    <w:rsid w:val="00B406F6"/>
    <w:rsid w:val="00B5683E"/>
    <w:rsid w:val="00B57CAF"/>
    <w:rsid w:val="00B63C97"/>
    <w:rsid w:val="00B74BCA"/>
    <w:rsid w:val="00B801DA"/>
    <w:rsid w:val="00B855DE"/>
    <w:rsid w:val="00B90034"/>
    <w:rsid w:val="00B913A7"/>
    <w:rsid w:val="00B941A5"/>
    <w:rsid w:val="00BA0BBC"/>
    <w:rsid w:val="00BA613A"/>
    <w:rsid w:val="00BC5A58"/>
    <w:rsid w:val="00BD6097"/>
    <w:rsid w:val="00BE1183"/>
    <w:rsid w:val="00BF3B3C"/>
    <w:rsid w:val="00BF4675"/>
    <w:rsid w:val="00BF5930"/>
    <w:rsid w:val="00C13417"/>
    <w:rsid w:val="00C16288"/>
    <w:rsid w:val="00C1787A"/>
    <w:rsid w:val="00C26F63"/>
    <w:rsid w:val="00C27319"/>
    <w:rsid w:val="00C30A1A"/>
    <w:rsid w:val="00C428F9"/>
    <w:rsid w:val="00C43082"/>
    <w:rsid w:val="00C45AF1"/>
    <w:rsid w:val="00C51A09"/>
    <w:rsid w:val="00C53823"/>
    <w:rsid w:val="00C620F1"/>
    <w:rsid w:val="00C62BE1"/>
    <w:rsid w:val="00C650F9"/>
    <w:rsid w:val="00C700F5"/>
    <w:rsid w:val="00C71064"/>
    <w:rsid w:val="00C71979"/>
    <w:rsid w:val="00C74127"/>
    <w:rsid w:val="00C80584"/>
    <w:rsid w:val="00C85A16"/>
    <w:rsid w:val="00C85B55"/>
    <w:rsid w:val="00C85F21"/>
    <w:rsid w:val="00C868B1"/>
    <w:rsid w:val="00C91973"/>
    <w:rsid w:val="00C94ABC"/>
    <w:rsid w:val="00CA6E44"/>
    <w:rsid w:val="00CA774D"/>
    <w:rsid w:val="00CB3ECF"/>
    <w:rsid w:val="00CB5342"/>
    <w:rsid w:val="00CC0CCF"/>
    <w:rsid w:val="00CC274F"/>
    <w:rsid w:val="00CC34A1"/>
    <w:rsid w:val="00CC35AE"/>
    <w:rsid w:val="00CD7BD0"/>
    <w:rsid w:val="00CE14DE"/>
    <w:rsid w:val="00CE6D9A"/>
    <w:rsid w:val="00CF214A"/>
    <w:rsid w:val="00CF39EC"/>
    <w:rsid w:val="00D0072C"/>
    <w:rsid w:val="00D04825"/>
    <w:rsid w:val="00D07DEC"/>
    <w:rsid w:val="00D12059"/>
    <w:rsid w:val="00D12E3E"/>
    <w:rsid w:val="00D22B6E"/>
    <w:rsid w:val="00D237C4"/>
    <w:rsid w:val="00D311BD"/>
    <w:rsid w:val="00D371BE"/>
    <w:rsid w:val="00D41E1D"/>
    <w:rsid w:val="00D43A66"/>
    <w:rsid w:val="00D565E0"/>
    <w:rsid w:val="00D6104C"/>
    <w:rsid w:val="00D646BC"/>
    <w:rsid w:val="00D66B17"/>
    <w:rsid w:val="00D80B89"/>
    <w:rsid w:val="00D80E98"/>
    <w:rsid w:val="00D83060"/>
    <w:rsid w:val="00D8469E"/>
    <w:rsid w:val="00D877CB"/>
    <w:rsid w:val="00D96124"/>
    <w:rsid w:val="00DA2863"/>
    <w:rsid w:val="00DA420C"/>
    <w:rsid w:val="00DA486D"/>
    <w:rsid w:val="00DA518D"/>
    <w:rsid w:val="00DA5325"/>
    <w:rsid w:val="00DB11EF"/>
    <w:rsid w:val="00DB2982"/>
    <w:rsid w:val="00DB368D"/>
    <w:rsid w:val="00DB3CCE"/>
    <w:rsid w:val="00DB48BD"/>
    <w:rsid w:val="00DB6FF3"/>
    <w:rsid w:val="00DD34F1"/>
    <w:rsid w:val="00DD5730"/>
    <w:rsid w:val="00DD6C57"/>
    <w:rsid w:val="00DF1D0A"/>
    <w:rsid w:val="00E148A8"/>
    <w:rsid w:val="00E17A6E"/>
    <w:rsid w:val="00E27B55"/>
    <w:rsid w:val="00E33FA3"/>
    <w:rsid w:val="00E34346"/>
    <w:rsid w:val="00E35DEB"/>
    <w:rsid w:val="00E4638B"/>
    <w:rsid w:val="00E54973"/>
    <w:rsid w:val="00E570CC"/>
    <w:rsid w:val="00E57BDA"/>
    <w:rsid w:val="00E61B7C"/>
    <w:rsid w:val="00E654DA"/>
    <w:rsid w:val="00E6598B"/>
    <w:rsid w:val="00E65E00"/>
    <w:rsid w:val="00E66027"/>
    <w:rsid w:val="00E706A3"/>
    <w:rsid w:val="00E76BC1"/>
    <w:rsid w:val="00E84ECE"/>
    <w:rsid w:val="00E853B8"/>
    <w:rsid w:val="00E926FA"/>
    <w:rsid w:val="00E9585B"/>
    <w:rsid w:val="00E96934"/>
    <w:rsid w:val="00EA41E9"/>
    <w:rsid w:val="00EC25A8"/>
    <w:rsid w:val="00EC34EA"/>
    <w:rsid w:val="00EC431B"/>
    <w:rsid w:val="00ED4E39"/>
    <w:rsid w:val="00ED55BB"/>
    <w:rsid w:val="00ED6001"/>
    <w:rsid w:val="00EE1511"/>
    <w:rsid w:val="00EE1BF5"/>
    <w:rsid w:val="00EE5CB8"/>
    <w:rsid w:val="00EF2F73"/>
    <w:rsid w:val="00EF3144"/>
    <w:rsid w:val="00F05667"/>
    <w:rsid w:val="00F07D42"/>
    <w:rsid w:val="00F134C8"/>
    <w:rsid w:val="00F16533"/>
    <w:rsid w:val="00F2084D"/>
    <w:rsid w:val="00F21FE3"/>
    <w:rsid w:val="00F24CF7"/>
    <w:rsid w:val="00F33217"/>
    <w:rsid w:val="00F42317"/>
    <w:rsid w:val="00F42857"/>
    <w:rsid w:val="00F44F66"/>
    <w:rsid w:val="00F468F5"/>
    <w:rsid w:val="00F50236"/>
    <w:rsid w:val="00F5519A"/>
    <w:rsid w:val="00F55A01"/>
    <w:rsid w:val="00F62A33"/>
    <w:rsid w:val="00F757F1"/>
    <w:rsid w:val="00F75D7A"/>
    <w:rsid w:val="00F8203E"/>
    <w:rsid w:val="00F8424C"/>
    <w:rsid w:val="00FA5C62"/>
    <w:rsid w:val="00FA7EAA"/>
    <w:rsid w:val="00FB057B"/>
    <w:rsid w:val="00FB3648"/>
    <w:rsid w:val="00FB7FFB"/>
    <w:rsid w:val="00FC2752"/>
    <w:rsid w:val="00FE31FC"/>
    <w:rsid w:val="00FE42B2"/>
    <w:rsid w:val="00FE65E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colormru v:ext="edit" colors="#d31145,#fffddf,#ffecd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semiHidden="0" w:unhideWhenUsed="0"/>
    <w:lsdException w:name="page number" w:uiPriority="0"/>
    <w:lsdException w:name="endnote reference" w:semiHidden="0" w:unhideWhenUsed="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semiHidden="0" w:uiPriority="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uiPriority="22" w:qFormat="1"/>
    <w:lsdException w:name="Emphasis" w:uiPriority="0" w:qFormat="1"/>
    <w:lsdException w:name="Document Map" w:uiPriority="0"/>
    <w:lsdException w:name="Plain Text" w:uiPriority="2"/>
    <w:lsdException w:name="annotation subject" w:uiPriority="0"/>
    <w:lsdException w:name="Table List 4" w:uiPriority="0"/>
    <w:lsdException w:name="Balloon Text" w:uiPriority="0"/>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semiHidden/>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Indent3">
    <w:name w:val="Body Text Indent 3"/>
    <w:basedOn w:val="Normal"/>
    <w:link w:val="BodyTextIndent3Char"/>
    <w:semiHidden/>
    <w:unhideWhenUsed/>
    <w:rsid w:val="00334FD0"/>
    <w:pPr>
      <w:ind w:left="283"/>
    </w:pPr>
    <w:rPr>
      <w:sz w:val="16"/>
      <w:szCs w:val="16"/>
    </w:rPr>
  </w:style>
  <w:style w:type="character" w:customStyle="1" w:styleId="BodyTextIndent3Char">
    <w:name w:val="Body Text Indent 3 Char"/>
    <w:link w:val="BodyTextIndent3"/>
    <w:semiHidden/>
    <w:rsid w:val="00334FD0"/>
    <w:rPr>
      <w:rFonts w:eastAsia="Calibri" w:cs="Helvetica-Light"/>
      <w:color w:val="000000"/>
      <w:sz w:val="16"/>
      <w:szCs w:val="16"/>
      <w:lang w:eastAsia="en-US"/>
    </w:rPr>
  </w:style>
  <w:style w:type="paragraph" w:customStyle="1" w:styleId="Bullet4">
    <w:name w:val="Bullet 4"/>
    <w:basedOn w:val="Normal"/>
    <w:uiPriority w:val="99"/>
    <w:rsid w:val="00334FD0"/>
    <w:pPr>
      <w:numPr>
        <w:numId w:val="5"/>
      </w:numPr>
      <w:autoSpaceDE/>
      <w:autoSpaceDN/>
      <w:adjustRightInd/>
      <w:spacing w:after="240"/>
      <w:jc w:val="left"/>
    </w:pPr>
    <w:rPr>
      <w:rFonts w:ascii="Times New Roman" w:eastAsia="Times New Roman" w:hAnsi="Times New Roman" w:cs="Times New Roman"/>
      <w:color w:val="auto"/>
      <w:szCs w:val="20"/>
      <w:lang w:eastAsia="en-GB"/>
    </w:rPr>
  </w:style>
  <w:style w:type="character" w:styleId="Strong">
    <w:name w:val="Strong"/>
    <w:uiPriority w:val="22"/>
    <w:qFormat/>
    <w:rsid w:val="00334FD0"/>
    <w:rPr>
      <w:b/>
      <w:bCs/>
    </w:rPr>
  </w:style>
  <w:style w:type="paragraph" w:customStyle="1" w:styleId="OutlineNum2">
    <w:name w:val="Outline Num 2"/>
    <w:basedOn w:val="Normal"/>
    <w:link w:val="OutlineNum2Char1"/>
    <w:rsid w:val="00371BC0"/>
    <w:pPr>
      <w:numPr>
        <w:ilvl w:val="1"/>
        <w:numId w:val="18"/>
      </w:numPr>
      <w:autoSpaceDE/>
      <w:autoSpaceDN/>
      <w:adjustRightInd/>
      <w:spacing w:after="240"/>
      <w:jc w:val="left"/>
      <w:outlineLvl w:val="1"/>
    </w:pPr>
    <w:rPr>
      <w:rFonts w:eastAsia="Times New Roman" w:cs="Times New Roman"/>
      <w:color w:val="auto"/>
      <w:sz w:val="22"/>
      <w:szCs w:val="20"/>
      <w:lang w:eastAsia="en-GB"/>
    </w:rPr>
  </w:style>
  <w:style w:type="paragraph" w:customStyle="1" w:styleId="OutlineNum3">
    <w:name w:val="Outline Num 3"/>
    <w:basedOn w:val="Normal"/>
    <w:rsid w:val="00371BC0"/>
    <w:pPr>
      <w:numPr>
        <w:ilvl w:val="2"/>
        <w:numId w:val="18"/>
      </w:numPr>
      <w:autoSpaceDE/>
      <w:autoSpaceDN/>
      <w:adjustRightInd/>
      <w:spacing w:after="240"/>
      <w:jc w:val="left"/>
      <w:outlineLvl w:val="2"/>
    </w:pPr>
    <w:rPr>
      <w:rFonts w:eastAsia="Times New Roman" w:cs="Times New Roman"/>
      <w:color w:val="auto"/>
      <w:sz w:val="22"/>
      <w:szCs w:val="20"/>
      <w:lang w:eastAsia="en-GB"/>
    </w:rPr>
  </w:style>
  <w:style w:type="character" w:customStyle="1" w:styleId="OutlineNum2Char1">
    <w:name w:val="Outline Num 2 Char1"/>
    <w:basedOn w:val="DefaultParagraphFont"/>
    <w:link w:val="OutlineNum2"/>
    <w:rsid w:val="00371BC0"/>
    <w:rPr>
      <w:rFonts w:eastAsia="Times New Roman"/>
      <w:sz w:val="22"/>
    </w:rPr>
  </w:style>
  <w:style w:type="paragraph" w:styleId="ListBullet">
    <w:name w:val="List Bullet"/>
    <w:basedOn w:val="Normal"/>
    <w:link w:val="ListBulletChar"/>
    <w:rsid w:val="00563A61"/>
    <w:pPr>
      <w:numPr>
        <w:numId w:val="26"/>
      </w:numPr>
      <w:autoSpaceDE/>
      <w:autoSpaceDN/>
      <w:adjustRightInd/>
      <w:spacing w:after="240"/>
      <w:jc w:val="left"/>
      <w:outlineLvl w:val="0"/>
    </w:pPr>
    <w:rPr>
      <w:rFonts w:eastAsia="Times New Roman" w:cs="Times New Roman"/>
      <w:color w:val="auto"/>
      <w:sz w:val="22"/>
      <w:lang w:eastAsia="en-GB"/>
    </w:rPr>
  </w:style>
  <w:style w:type="paragraph" w:styleId="ListBullet2">
    <w:name w:val="List Bullet 2"/>
    <w:basedOn w:val="Normal"/>
    <w:rsid w:val="00563A61"/>
    <w:pPr>
      <w:numPr>
        <w:ilvl w:val="1"/>
        <w:numId w:val="26"/>
      </w:numPr>
      <w:autoSpaceDE/>
      <w:autoSpaceDN/>
      <w:adjustRightInd/>
      <w:spacing w:after="240"/>
      <w:jc w:val="left"/>
      <w:outlineLvl w:val="1"/>
    </w:pPr>
    <w:rPr>
      <w:rFonts w:eastAsia="Times New Roman" w:cs="Times New Roman"/>
      <w:color w:val="auto"/>
      <w:sz w:val="22"/>
      <w:szCs w:val="20"/>
      <w:lang w:eastAsia="en-GB"/>
    </w:rPr>
  </w:style>
  <w:style w:type="paragraph" w:styleId="ListBullet3">
    <w:name w:val="List Bullet 3"/>
    <w:basedOn w:val="Normal"/>
    <w:rsid w:val="00563A61"/>
    <w:pPr>
      <w:numPr>
        <w:ilvl w:val="2"/>
        <w:numId w:val="26"/>
      </w:numPr>
      <w:autoSpaceDE/>
      <w:autoSpaceDN/>
      <w:adjustRightInd/>
      <w:spacing w:after="240"/>
      <w:jc w:val="left"/>
      <w:outlineLvl w:val="2"/>
    </w:pPr>
    <w:rPr>
      <w:rFonts w:eastAsia="Times New Roman" w:cs="Times New Roman"/>
      <w:color w:val="auto"/>
      <w:sz w:val="22"/>
      <w:szCs w:val="20"/>
      <w:lang w:eastAsia="en-GB"/>
    </w:rPr>
  </w:style>
  <w:style w:type="paragraph" w:styleId="ListBullet4">
    <w:name w:val="List Bullet 4"/>
    <w:basedOn w:val="Normal"/>
    <w:rsid w:val="00563A61"/>
    <w:pPr>
      <w:numPr>
        <w:ilvl w:val="3"/>
        <w:numId w:val="26"/>
      </w:numPr>
      <w:autoSpaceDE/>
      <w:autoSpaceDN/>
      <w:adjustRightInd/>
      <w:spacing w:after="240"/>
      <w:jc w:val="left"/>
      <w:outlineLvl w:val="3"/>
    </w:pPr>
    <w:rPr>
      <w:rFonts w:eastAsia="Times New Roman" w:cs="Times New Roman"/>
      <w:color w:val="auto"/>
      <w:sz w:val="22"/>
      <w:szCs w:val="20"/>
      <w:lang w:eastAsia="en-GB"/>
    </w:rPr>
  </w:style>
  <w:style w:type="character" w:customStyle="1" w:styleId="ListBulletChar">
    <w:name w:val="List Bullet Char"/>
    <w:basedOn w:val="DefaultParagraphFont"/>
    <w:link w:val="ListBullet"/>
    <w:rsid w:val="00563A61"/>
    <w:rPr>
      <w:rFonts w:eastAsia="Times New Roman"/>
      <w:sz w:val="22"/>
      <w:szCs w:val="24"/>
    </w:rPr>
  </w:style>
  <w:style w:type="character" w:styleId="CommentReference">
    <w:name w:val="annotation reference"/>
    <w:basedOn w:val="DefaultParagraphFont"/>
    <w:uiPriority w:val="99"/>
    <w:rsid w:val="008F0A35"/>
    <w:rPr>
      <w:sz w:val="16"/>
      <w:szCs w:val="16"/>
    </w:rPr>
  </w:style>
  <w:style w:type="paragraph" w:styleId="CommentSubject">
    <w:name w:val="annotation subject"/>
    <w:basedOn w:val="CommentText"/>
    <w:next w:val="CommentText"/>
    <w:link w:val="CommentSubjectChar"/>
    <w:semiHidden/>
    <w:unhideWhenUsed/>
    <w:rsid w:val="008F0A35"/>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8F0A35"/>
    <w:rPr>
      <w:rFonts w:eastAsia="Calibri" w:cs="Helvetica-Light"/>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semiHidden="0" w:unhideWhenUsed="0"/>
    <w:lsdException w:name="page number" w:uiPriority="0"/>
    <w:lsdException w:name="endnote reference" w:semiHidden="0" w:unhideWhenUsed="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semiHidden="0" w:uiPriority="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uiPriority="22" w:qFormat="1"/>
    <w:lsdException w:name="Emphasis" w:uiPriority="0" w:qFormat="1"/>
    <w:lsdException w:name="Document Map" w:uiPriority="0"/>
    <w:lsdException w:name="Plain Text" w:uiPriority="2"/>
    <w:lsdException w:name="annotation subject" w:uiPriority="0"/>
    <w:lsdException w:name="Table List 4" w:uiPriority="0"/>
    <w:lsdException w:name="Balloon Text" w:uiPriority="0"/>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semiHidden/>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Indent3">
    <w:name w:val="Body Text Indent 3"/>
    <w:basedOn w:val="Normal"/>
    <w:link w:val="BodyTextIndent3Char"/>
    <w:semiHidden/>
    <w:unhideWhenUsed/>
    <w:rsid w:val="00334FD0"/>
    <w:pPr>
      <w:ind w:left="283"/>
    </w:pPr>
    <w:rPr>
      <w:sz w:val="16"/>
      <w:szCs w:val="16"/>
    </w:rPr>
  </w:style>
  <w:style w:type="character" w:customStyle="1" w:styleId="BodyTextIndent3Char">
    <w:name w:val="Body Text Indent 3 Char"/>
    <w:link w:val="BodyTextIndent3"/>
    <w:semiHidden/>
    <w:rsid w:val="00334FD0"/>
    <w:rPr>
      <w:rFonts w:eastAsia="Calibri" w:cs="Helvetica-Light"/>
      <w:color w:val="000000"/>
      <w:sz w:val="16"/>
      <w:szCs w:val="16"/>
      <w:lang w:eastAsia="en-US"/>
    </w:rPr>
  </w:style>
  <w:style w:type="paragraph" w:customStyle="1" w:styleId="Bullet4">
    <w:name w:val="Bullet 4"/>
    <w:basedOn w:val="Normal"/>
    <w:uiPriority w:val="99"/>
    <w:rsid w:val="00334FD0"/>
    <w:pPr>
      <w:numPr>
        <w:numId w:val="5"/>
      </w:numPr>
      <w:autoSpaceDE/>
      <w:autoSpaceDN/>
      <w:adjustRightInd/>
      <w:spacing w:after="240"/>
      <w:jc w:val="left"/>
    </w:pPr>
    <w:rPr>
      <w:rFonts w:ascii="Times New Roman" w:eastAsia="Times New Roman" w:hAnsi="Times New Roman" w:cs="Times New Roman"/>
      <w:color w:val="auto"/>
      <w:szCs w:val="20"/>
      <w:lang w:eastAsia="en-GB"/>
    </w:rPr>
  </w:style>
  <w:style w:type="character" w:styleId="Strong">
    <w:name w:val="Strong"/>
    <w:uiPriority w:val="22"/>
    <w:qFormat/>
    <w:rsid w:val="00334FD0"/>
    <w:rPr>
      <w:b/>
      <w:bCs/>
    </w:rPr>
  </w:style>
  <w:style w:type="paragraph" w:customStyle="1" w:styleId="OutlineNum2">
    <w:name w:val="Outline Num 2"/>
    <w:basedOn w:val="Normal"/>
    <w:link w:val="OutlineNum2Char1"/>
    <w:rsid w:val="00371BC0"/>
    <w:pPr>
      <w:numPr>
        <w:ilvl w:val="1"/>
        <w:numId w:val="18"/>
      </w:numPr>
      <w:autoSpaceDE/>
      <w:autoSpaceDN/>
      <w:adjustRightInd/>
      <w:spacing w:after="240"/>
      <w:jc w:val="left"/>
      <w:outlineLvl w:val="1"/>
    </w:pPr>
    <w:rPr>
      <w:rFonts w:eastAsia="Times New Roman" w:cs="Times New Roman"/>
      <w:color w:val="auto"/>
      <w:sz w:val="22"/>
      <w:szCs w:val="20"/>
      <w:lang w:eastAsia="en-GB"/>
    </w:rPr>
  </w:style>
  <w:style w:type="paragraph" w:customStyle="1" w:styleId="OutlineNum3">
    <w:name w:val="Outline Num 3"/>
    <w:basedOn w:val="Normal"/>
    <w:rsid w:val="00371BC0"/>
    <w:pPr>
      <w:numPr>
        <w:ilvl w:val="2"/>
        <w:numId w:val="18"/>
      </w:numPr>
      <w:autoSpaceDE/>
      <w:autoSpaceDN/>
      <w:adjustRightInd/>
      <w:spacing w:after="240"/>
      <w:jc w:val="left"/>
      <w:outlineLvl w:val="2"/>
    </w:pPr>
    <w:rPr>
      <w:rFonts w:eastAsia="Times New Roman" w:cs="Times New Roman"/>
      <w:color w:val="auto"/>
      <w:sz w:val="22"/>
      <w:szCs w:val="20"/>
      <w:lang w:eastAsia="en-GB"/>
    </w:rPr>
  </w:style>
  <w:style w:type="character" w:customStyle="1" w:styleId="OutlineNum2Char1">
    <w:name w:val="Outline Num 2 Char1"/>
    <w:basedOn w:val="DefaultParagraphFont"/>
    <w:link w:val="OutlineNum2"/>
    <w:rsid w:val="00371BC0"/>
    <w:rPr>
      <w:rFonts w:eastAsia="Times New Roman"/>
      <w:sz w:val="22"/>
    </w:rPr>
  </w:style>
  <w:style w:type="paragraph" w:styleId="ListBullet">
    <w:name w:val="List Bullet"/>
    <w:basedOn w:val="Normal"/>
    <w:link w:val="ListBulletChar"/>
    <w:rsid w:val="00563A61"/>
    <w:pPr>
      <w:numPr>
        <w:numId w:val="26"/>
      </w:numPr>
      <w:autoSpaceDE/>
      <w:autoSpaceDN/>
      <w:adjustRightInd/>
      <w:spacing w:after="240"/>
      <w:jc w:val="left"/>
      <w:outlineLvl w:val="0"/>
    </w:pPr>
    <w:rPr>
      <w:rFonts w:eastAsia="Times New Roman" w:cs="Times New Roman"/>
      <w:color w:val="auto"/>
      <w:sz w:val="22"/>
      <w:lang w:eastAsia="en-GB"/>
    </w:rPr>
  </w:style>
  <w:style w:type="paragraph" w:styleId="ListBullet2">
    <w:name w:val="List Bullet 2"/>
    <w:basedOn w:val="Normal"/>
    <w:rsid w:val="00563A61"/>
    <w:pPr>
      <w:numPr>
        <w:ilvl w:val="1"/>
        <w:numId w:val="26"/>
      </w:numPr>
      <w:autoSpaceDE/>
      <w:autoSpaceDN/>
      <w:adjustRightInd/>
      <w:spacing w:after="240"/>
      <w:jc w:val="left"/>
      <w:outlineLvl w:val="1"/>
    </w:pPr>
    <w:rPr>
      <w:rFonts w:eastAsia="Times New Roman" w:cs="Times New Roman"/>
      <w:color w:val="auto"/>
      <w:sz w:val="22"/>
      <w:szCs w:val="20"/>
      <w:lang w:eastAsia="en-GB"/>
    </w:rPr>
  </w:style>
  <w:style w:type="paragraph" w:styleId="ListBullet3">
    <w:name w:val="List Bullet 3"/>
    <w:basedOn w:val="Normal"/>
    <w:rsid w:val="00563A61"/>
    <w:pPr>
      <w:numPr>
        <w:ilvl w:val="2"/>
        <w:numId w:val="26"/>
      </w:numPr>
      <w:autoSpaceDE/>
      <w:autoSpaceDN/>
      <w:adjustRightInd/>
      <w:spacing w:after="240"/>
      <w:jc w:val="left"/>
      <w:outlineLvl w:val="2"/>
    </w:pPr>
    <w:rPr>
      <w:rFonts w:eastAsia="Times New Roman" w:cs="Times New Roman"/>
      <w:color w:val="auto"/>
      <w:sz w:val="22"/>
      <w:szCs w:val="20"/>
      <w:lang w:eastAsia="en-GB"/>
    </w:rPr>
  </w:style>
  <w:style w:type="paragraph" w:styleId="ListBullet4">
    <w:name w:val="List Bullet 4"/>
    <w:basedOn w:val="Normal"/>
    <w:rsid w:val="00563A61"/>
    <w:pPr>
      <w:numPr>
        <w:ilvl w:val="3"/>
        <w:numId w:val="26"/>
      </w:numPr>
      <w:autoSpaceDE/>
      <w:autoSpaceDN/>
      <w:adjustRightInd/>
      <w:spacing w:after="240"/>
      <w:jc w:val="left"/>
      <w:outlineLvl w:val="3"/>
    </w:pPr>
    <w:rPr>
      <w:rFonts w:eastAsia="Times New Roman" w:cs="Times New Roman"/>
      <w:color w:val="auto"/>
      <w:sz w:val="22"/>
      <w:szCs w:val="20"/>
      <w:lang w:eastAsia="en-GB"/>
    </w:rPr>
  </w:style>
  <w:style w:type="character" w:customStyle="1" w:styleId="ListBulletChar">
    <w:name w:val="List Bullet Char"/>
    <w:basedOn w:val="DefaultParagraphFont"/>
    <w:link w:val="ListBullet"/>
    <w:rsid w:val="00563A61"/>
    <w:rPr>
      <w:rFonts w:eastAsia="Times New Roman"/>
      <w:sz w:val="22"/>
      <w:szCs w:val="24"/>
    </w:rPr>
  </w:style>
</w:styles>
</file>

<file path=word/webSettings.xml><?xml version="1.0" encoding="utf-8"?>
<w:webSettings xmlns:r="http://schemas.openxmlformats.org/officeDocument/2006/relationships" xmlns:w="http://schemas.openxmlformats.org/wordprocessingml/2006/main">
  <w:divs>
    <w:div w:id="989555292">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528368597">
      <w:bodyDiv w:val="1"/>
      <w:marLeft w:val="0"/>
      <w:marRight w:val="0"/>
      <w:marTop w:val="0"/>
      <w:marBottom w:val="0"/>
      <w:divBdr>
        <w:top w:val="none" w:sz="0" w:space="0" w:color="auto"/>
        <w:left w:val="none" w:sz="0" w:space="0" w:color="auto"/>
        <w:bottom w:val="none" w:sz="0" w:space="0" w:color="auto"/>
        <w:right w:val="none" w:sz="0" w:space="0" w:color="auto"/>
      </w:divBdr>
    </w:div>
    <w:div w:id="2127116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3.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QuickStyle" Target="diagrams/quickStyle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71D607-A5CC-4690-BA69-DC2E1265C061}"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GB"/>
        </a:p>
      </dgm:t>
    </dgm:pt>
    <dgm:pt modelId="{942A9EAC-9372-4C10-8F58-D350BEFAC24A}">
      <dgm:prSet phldrT="[Text]" custT="1"/>
      <dgm:spPr/>
      <dgm:t>
        <a:bodyPr/>
        <a:lstStyle/>
        <a:p>
          <a:r>
            <a:rPr lang="en-GB" sz="1400"/>
            <a:t>Valuation results</a:t>
          </a:r>
        </a:p>
        <a:p>
          <a:r>
            <a:rPr lang="en-GB" sz="1100"/>
            <a:t>How much to pay and when to meet current and future payments</a:t>
          </a:r>
        </a:p>
      </dgm:t>
    </dgm:pt>
    <dgm:pt modelId="{9F81D736-6CD3-47FB-A85F-B89E33BC9DC1}" type="parTrans" cxnId="{BAB61B8F-9F88-4AE7-844D-58BA1600B1E7}">
      <dgm:prSet/>
      <dgm:spPr/>
      <dgm:t>
        <a:bodyPr/>
        <a:lstStyle/>
        <a:p>
          <a:endParaRPr lang="en-GB"/>
        </a:p>
      </dgm:t>
    </dgm:pt>
    <dgm:pt modelId="{5C12EF16-5DA3-459C-8108-A84407C7B1FB}" type="sibTrans" cxnId="{BAB61B8F-9F88-4AE7-844D-58BA1600B1E7}">
      <dgm:prSet/>
      <dgm:spPr/>
      <dgm:t>
        <a:bodyPr/>
        <a:lstStyle/>
        <a:p>
          <a:endParaRPr lang="en-GB"/>
        </a:p>
      </dgm:t>
    </dgm:pt>
    <dgm:pt modelId="{B00FA84E-F7C0-4D6D-9741-540825E4B983}">
      <dgm:prSet phldrT="[Text]" custT="1"/>
      <dgm:spPr/>
      <dgm:t>
        <a:bodyPr/>
        <a:lstStyle/>
        <a:p>
          <a:r>
            <a:rPr lang="en-GB" sz="1200"/>
            <a:t>Statement of Investment Principles</a:t>
          </a:r>
        </a:p>
        <a:p>
          <a:r>
            <a:rPr lang="en-GB" sz="1100"/>
            <a:t>How the Fund will be invested and managed</a:t>
          </a:r>
        </a:p>
      </dgm:t>
    </dgm:pt>
    <dgm:pt modelId="{BA35A8D3-7D4F-41FC-B3DB-F4F432DFF91F}" type="parTrans" cxnId="{2FAFB4DC-B312-4213-943C-363D3627A0C4}">
      <dgm:prSet/>
      <dgm:spPr/>
      <dgm:t>
        <a:bodyPr/>
        <a:lstStyle/>
        <a:p>
          <a:endParaRPr lang="en-GB"/>
        </a:p>
      </dgm:t>
    </dgm:pt>
    <dgm:pt modelId="{EC195E7F-B7C7-471B-92ED-9DE3FEB62EE6}" type="sibTrans" cxnId="{2FAFB4DC-B312-4213-943C-363D3627A0C4}">
      <dgm:prSet/>
      <dgm:spPr/>
      <dgm:t>
        <a:bodyPr/>
        <a:lstStyle/>
        <a:p>
          <a:endParaRPr lang="en-GB"/>
        </a:p>
      </dgm:t>
    </dgm:pt>
    <dgm:pt modelId="{C0EEF213-3C5E-4591-8583-4BA6F92AE162}">
      <dgm:prSet phldrT="[Text]" custT="1"/>
      <dgm:spPr/>
      <dgm:t>
        <a:bodyPr/>
        <a:lstStyle/>
        <a:p>
          <a:r>
            <a:rPr lang="en-GB" sz="1200"/>
            <a:t>Funding Strategy Statement</a:t>
          </a:r>
        </a:p>
        <a:p>
          <a:r>
            <a:rPr lang="en-GB" sz="1000"/>
            <a:t>How solvency and risks will be managed having regard to liabilities</a:t>
          </a:r>
        </a:p>
      </dgm:t>
    </dgm:pt>
    <dgm:pt modelId="{1D8B663C-4DA0-4590-B6FA-860750693A51}" type="parTrans" cxnId="{477A5B63-12D9-4885-9185-521520D44786}">
      <dgm:prSet/>
      <dgm:spPr/>
      <dgm:t>
        <a:bodyPr/>
        <a:lstStyle/>
        <a:p>
          <a:endParaRPr lang="en-GB"/>
        </a:p>
      </dgm:t>
    </dgm:pt>
    <dgm:pt modelId="{DAFDEE7D-530B-41C8-84CC-3EFD829FEB03}" type="sibTrans" cxnId="{477A5B63-12D9-4885-9185-521520D44786}">
      <dgm:prSet/>
      <dgm:spPr/>
      <dgm:t>
        <a:bodyPr/>
        <a:lstStyle/>
        <a:p>
          <a:endParaRPr lang="en-GB"/>
        </a:p>
      </dgm:t>
    </dgm:pt>
    <dgm:pt modelId="{3754F9C4-684E-45BC-B62D-8B509060025B}" type="pres">
      <dgm:prSet presAssocID="{2771D607-A5CC-4690-BA69-DC2E1265C061}" presName="Name0" presStyleCnt="0">
        <dgm:presLayoutVars>
          <dgm:dir/>
          <dgm:resizeHandles val="exact"/>
        </dgm:presLayoutVars>
      </dgm:prSet>
      <dgm:spPr/>
      <dgm:t>
        <a:bodyPr/>
        <a:lstStyle/>
        <a:p>
          <a:endParaRPr lang="en-GB"/>
        </a:p>
      </dgm:t>
    </dgm:pt>
    <dgm:pt modelId="{A2071436-C512-45D2-BA2B-A4D01D17DAA7}" type="pres">
      <dgm:prSet presAssocID="{942A9EAC-9372-4C10-8F58-D350BEFAC24A}" presName="node" presStyleLbl="node1" presStyleIdx="0" presStyleCnt="3" custScaleX="137926" custScaleY="130241" custRadScaleRad="84420" custRadScaleInc="-629">
        <dgm:presLayoutVars>
          <dgm:bulletEnabled val="1"/>
        </dgm:presLayoutVars>
      </dgm:prSet>
      <dgm:spPr/>
      <dgm:t>
        <a:bodyPr/>
        <a:lstStyle/>
        <a:p>
          <a:endParaRPr lang="en-GB"/>
        </a:p>
      </dgm:t>
    </dgm:pt>
    <dgm:pt modelId="{B33CC81C-3B14-4591-82CD-A3B2EA1B8476}" type="pres">
      <dgm:prSet presAssocID="{5C12EF16-5DA3-459C-8108-A84407C7B1FB}" presName="sibTrans" presStyleLbl="sibTrans2D1" presStyleIdx="0" presStyleCnt="3"/>
      <dgm:spPr/>
      <dgm:t>
        <a:bodyPr/>
        <a:lstStyle/>
        <a:p>
          <a:endParaRPr lang="en-GB"/>
        </a:p>
      </dgm:t>
    </dgm:pt>
    <dgm:pt modelId="{68F9CEBF-F703-4ECC-A2A4-1EDFEAE04D09}" type="pres">
      <dgm:prSet presAssocID="{5C12EF16-5DA3-459C-8108-A84407C7B1FB}" presName="connectorText" presStyleLbl="sibTrans2D1" presStyleIdx="0" presStyleCnt="3"/>
      <dgm:spPr/>
      <dgm:t>
        <a:bodyPr/>
        <a:lstStyle/>
        <a:p>
          <a:endParaRPr lang="en-GB"/>
        </a:p>
      </dgm:t>
    </dgm:pt>
    <dgm:pt modelId="{FDB63B74-2B96-46B0-97F5-038E8D0CE558}" type="pres">
      <dgm:prSet presAssocID="{B00FA84E-F7C0-4D6D-9741-540825E4B983}" presName="node" presStyleLbl="node1" presStyleIdx="1" presStyleCnt="3" custScaleX="131574" custScaleY="130834" custRadScaleRad="94699" custRadScaleInc="-10225">
        <dgm:presLayoutVars>
          <dgm:bulletEnabled val="1"/>
        </dgm:presLayoutVars>
      </dgm:prSet>
      <dgm:spPr/>
      <dgm:t>
        <a:bodyPr/>
        <a:lstStyle/>
        <a:p>
          <a:endParaRPr lang="en-GB"/>
        </a:p>
      </dgm:t>
    </dgm:pt>
    <dgm:pt modelId="{32920F05-F699-49DB-9E4D-0E9263C0FFC9}" type="pres">
      <dgm:prSet presAssocID="{EC195E7F-B7C7-471B-92ED-9DE3FEB62EE6}" presName="sibTrans" presStyleLbl="sibTrans2D1" presStyleIdx="1" presStyleCnt="3"/>
      <dgm:spPr/>
      <dgm:t>
        <a:bodyPr/>
        <a:lstStyle/>
        <a:p>
          <a:endParaRPr lang="en-GB"/>
        </a:p>
      </dgm:t>
    </dgm:pt>
    <dgm:pt modelId="{50465944-0D5A-45FA-A4EA-61679AFF79D9}" type="pres">
      <dgm:prSet presAssocID="{EC195E7F-B7C7-471B-92ED-9DE3FEB62EE6}" presName="connectorText" presStyleLbl="sibTrans2D1" presStyleIdx="1" presStyleCnt="3"/>
      <dgm:spPr/>
      <dgm:t>
        <a:bodyPr/>
        <a:lstStyle/>
        <a:p>
          <a:endParaRPr lang="en-GB"/>
        </a:p>
      </dgm:t>
    </dgm:pt>
    <dgm:pt modelId="{938DDAA5-2F66-497F-947F-80AEDDD9B13E}" type="pres">
      <dgm:prSet presAssocID="{C0EEF213-3C5E-4591-8583-4BA6F92AE162}" presName="node" presStyleLbl="node1" presStyleIdx="2" presStyleCnt="3" custScaleX="132094" custScaleY="136959" custRadScaleRad="91673" custRadScaleInc="8779">
        <dgm:presLayoutVars>
          <dgm:bulletEnabled val="1"/>
        </dgm:presLayoutVars>
      </dgm:prSet>
      <dgm:spPr/>
      <dgm:t>
        <a:bodyPr/>
        <a:lstStyle/>
        <a:p>
          <a:endParaRPr lang="en-GB"/>
        </a:p>
      </dgm:t>
    </dgm:pt>
    <dgm:pt modelId="{607FFA3A-5398-459B-8A9B-7B754F74BF06}" type="pres">
      <dgm:prSet presAssocID="{DAFDEE7D-530B-41C8-84CC-3EFD829FEB03}" presName="sibTrans" presStyleLbl="sibTrans2D1" presStyleIdx="2" presStyleCnt="3"/>
      <dgm:spPr/>
      <dgm:t>
        <a:bodyPr/>
        <a:lstStyle/>
        <a:p>
          <a:endParaRPr lang="en-GB"/>
        </a:p>
      </dgm:t>
    </dgm:pt>
    <dgm:pt modelId="{9EA7303B-C80B-46DB-9F62-1E2B02C1D3C9}" type="pres">
      <dgm:prSet presAssocID="{DAFDEE7D-530B-41C8-84CC-3EFD829FEB03}" presName="connectorText" presStyleLbl="sibTrans2D1" presStyleIdx="2" presStyleCnt="3"/>
      <dgm:spPr/>
      <dgm:t>
        <a:bodyPr/>
        <a:lstStyle/>
        <a:p>
          <a:endParaRPr lang="en-GB"/>
        </a:p>
      </dgm:t>
    </dgm:pt>
  </dgm:ptLst>
  <dgm:cxnLst>
    <dgm:cxn modelId="{993595A9-1E25-4326-8B99-45D509721C55}" type="presOf" srcId="{DAFDEE7D-530B-41C8-84CC-3EFD829FEB03}" destId="{9EA7303B-C80B-46DB-9F62-1E2B02C1D3C9}" srcOrd="1" destOrd="0" presId="urn:microsoft.com/office/officeart/2005/8/layout/cycle7"/>
    <dgm:cxn modelId="{F8A940DB-39F4-4738-8B87-17778B71E93A}" type="presOf" srcId="{B00FA84E-F7C0-4D6D-9741-540825E4B983}" destId="{FDB63B74-2B96-46B0-97F5-038E8D0CE558}" srcOrd="0" destOrd="0" presId="urn:microsoft.com/office/officeart/2005/8/layout/cycle7"/>
    <dgm:cxn modelId="{E1E2B03D-6E26-499A-A82A-ADD60BF85CC7}" type="presOf" srcId="{2771D607-A5CC-4690-BA69-DC2E1265C061}" destId="{3754F9C4-684E-45BC-B62D-8B509060025B}" srcOrd="0" destOrd="0" presId="urn:microsoft.com/office/officeart/2005/8/layout/cycle7"/>
    <dgm:cxn modelId="{4CF9B8F2-F9E9-4DA6-B5EC-8F9B151FE332}" type="presOf" srcId="{942A9EAC-9372-4C10-8F58-D350BEFAC24A}" destId="{A2071436-C512-45D2-BA2B-A4D01D17DAA7}" srcOrd="0" destOrd="0" presId="urn:microsoft.com/office/officeart/2005/8/layout/cycle7"/>
    <dgm:cxn modelId="{80951E3F-317C-4402-B537-9EE4BD4F1307}" type="presOf" srcId="{EC195E7F-B7C7-471B-92ED-9DE3FEB62EE6}" destId="{32920F05-F699-49DB-9E4D-0E9263C0FFC9}" srcOrd="0" destOrd="0" presId="urn:microsoft.com/office/officeart/2005/8/layout/cycle7"/>
    <dgm:cxn modelId="{5BC2D2E8-E1B0-41DD-8CB0-F203478F20FC}" type="presOf" srcId="{DAFDEE7D-530B-41C8-84CC-3EFD829FEB03}" destId="{607FFA3A-5398-459B-8A9B-7B754F74BF06}" srcOrd="0" destOrd="0" presId="urn:microsoft.com/office/officeart/2005/8/layout/cycle7"/>
    <dgm:cxn modelId="{7B4D0124-1E8F-40EC-80BC-9F1661F0E339}" type="presOf" srcId="{5C12EF16-5DA3-459C-8108-A84407C7B1FB}" destId="{B33CC81C-3B14-4591-82CD-A3B2EA1B8476}" srcOrd="0" destOrd="0" presId="urn:microsoft.com/office/officeart/2005/8/layout/cycle7"/>
    <dgm:cxn modelId="{477A5B63-12D9-4885-9185-521520D44786}" srcId="{2771D607-A5CC-4690-BA69-DC2E1265C061}" destId="{C0EEF213-3C5E-4591-8583-4BA6F92AE162}" srcOrd="2" destOrd="0" parTransId="{1D8B663C-4DA0-4590-B6FA-860750693A51}" sibTransId="{DAFDEE7D-530B-41C8-84CC-3EFD829FEB03}"/>
    <dgm:cxn modelId="{BAB61B8F-9F88-4AE7-844D-58BA1600B1E7}" srcId="{2771D607-A5CC-4690-BA69-DC2E1265C061}" destId="{942A9EAC-9372-4C10-8F58-D350BEFAC24A}" srcOrd="0" destOrd="0" parTransId="{9F81D736-6CD3-47FB-A85F-B89E33BC9DC1}" sibTransId="{5C12EF16-5DA3-459C-8108-A84407C7B1FB}"/>
    <dgm:cxn modelId="{2FAFB4DC-B312-4213-943C-363D3627A0C4}" srcId="{2771D607-A5CC-4690-BA69-DC2E1265C061}" destId="{B00FA84E-F7C0-4D6D-9741-540825E4B983}" srcOrd="1" destOrd="0" parTransId="{BA35A8D3-7D4F-41FC-B3DB-F4F432DFF91F}" sibTransId="{EC195E7F-B7C7-471B-92ED-9DE3FEB62EE6}"/>
    <dgm:cxn modelId="{20B6E923-46B5-4828-A786-460B035C7B05}" type="presOf" srcId="{5C12EF16-5DA3-459C-8108-A84407C7B1FB}" destId="{68F9CEBF-F703-4ECC-A2A4-1EDFEAE04D09}" srcOrd="1" destOrd="0" presId="urn:microsoft.com/office/officeart/2005/8/layout/cycle7"/>
    <dgm:cxn modelId="{7F496B7B-6748-45ED-BEE6-ECD45EB68BFC}" type="presOf" srcId="{EC195E7F-B7C7-471B-92ED-9DE3FEB62EE6}" destId="{50465944-0D5A-45FA-A4EA-61679AFF79D9}" srcOrd="1" destOrd="0" presId="urn:microsoft.com/office/officeart/2005/8/layout/cycle7"/>
    <dgm:cxn modelId="{8FC959F9-9789-4CE0-8F00-A80538739775}" type="presOf" srcId="{C0EEF213-3C5E-4591-8583-4BA6F92AE162}" destId="{938DDAA5-2F66-497F-947F-80AEDDD9B13E}" srcOrd="0" destOrd="0" presId="urn:microsoft.com/office/officeart/2005/8/layout/cycle7"/>
    <dgm:cxn modelId="{34075B7D-9E29-4A1A-9E37-ECD5D4C55384}" type="presParOf" srcId="{3754F9C4-684E-45BC-B62D-8B509060025B}" destId="{A2071436-C512-45D2-BA2B-A4D01D17DAA7}" srcOrd="0" destOrd="0" presId="urn:microsoft.com/office/officeart/2005/8/layout/cycle7"/>
    <dgm:cxn modelId="{BAC330B1-7EDF-44DE-83B8-8CB94C109C5B}" type="presParOf" srcId="{3754F9C4-684E-45BC-B62D-8B509060025B}" destId="{B33CC81C-3B14-4591-82CD-A3B2EA1B8476}" srcOrd="1" destOrd="0" presId="urn:microsoft.com/office/officeart/2005/8/layout/cycle7"/>
    <dgm:cxn modelId="{9430DB28-79C1-4BFD-A891-ABB6AD7DFCCE}" type="presParOf" srcId="{B33CC81C-3B14-4591-82CD-A3B2EA1B8476}" destId="{68F9CEBF-F703-4ECC-A2A4-1EDFEAE04D09}" srcOrd="0" destOrd="0" presId="urn:microsoft.com/office/officeart/2005/8/layout/cycle7"/>
    <dgm:cxn modelId="{79A2F3B2-7539-49B7-99CB-7A5D8D066964}" type="presParOf" srcId="{3754F9C4-684E-45BC-B62D-8B509060025B}" destId="{FDB63B74-2B96-46B0-97F5-038E8D0CE558}" srcOrd="2" destOrd="0" presId="urn:microsoft.com/office/officeart/2005/8/layout/cycle7"/>
    <dgm:cxn modelId="{A2DAA504-7F84-4FFE-8EF8-F553FFC110FC}" type="presParOf" srcId="{3754F9C4-684E-45BC-B62D-8B509060025B}" destId="{32920F05-F699-49DB-9E4D-0E9263C0FFC9}" srcOrd="3" destOrd="0" presId="urn:microsoft.com/office/officeart/2005/8/layout/cycle7"/>
    <dgm:cxn modelId="{0A364668-5775-446C-B972-5361CCC8F688}" type="presParOf" srcId="{32920F05-F699-49DB-9E4D-0E9263C0FFC9}" destId="{50465944-0D5A-45FA-A4EA-61679AFF79D9}" srcOrd="0" destOrd="0" presId="urn:microsoft.com/office/officeart/2005/8/layout/cycle7"/>
    <dgm:cxn modelId="{E1E4DCFC-E333-4179-9917-881968B39115}" type="presParOf" srcId="{3754F9C4-684E-45BC-B62D-8B509060025B}" destId="{938DDAA5-2F66-497F-947F-80AEDDD9B13E}" srcOrd="4" destOrd="0" presId="urn:microsoft.com/office/officeart/2005/8/layout/cycle7"/>
    <dgm:cxn modelId="{82980D39-2825-4BD6-B209-FDB8B941FE71}" type="presParOf" srcId="{3754F9C4-684E-45BC-B62D-8B509060025B}" destId="{607FFA3A-5398-459B-8A9B-7B754F74BF06}" srcOrd="5" destOrd="0" presId="urn:microsoft.com/office/officeart/2005/8/layout/cycle7"/>
    <dgm:cxn modelId="{DCB95B47-F8CF-4C4C-80F4-7FD3107A4C42}" type="presParOf" srcId="{607FFA3A-5398-459B-8A9B-7B754F74BF06}" destId="{9EA7303B-C80B-46DB-9F62-1E2B02C1D3C9}" srcOrd="0" destOrd="0" presId="urn:microsoft.com/office/officeart/2005/8/layout/cycle7"/>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2071436-C512-45D2-BA2B-A4D01D17DAA7}">
      <dsp:nvSpPr>
        <dsp:cNvPr id="0" name=""/>
        <dsp:cNvSpPr/>
      </dsp:nvSpPr>
      <dsp:spPr>
        <a:xfrm>
          <a:off x="1231435" y="78366"/>
          <a:ext cx="1653214" cy="7805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Valuation results</a:t>
          </a:r>
        </a:p>
        <a:p>
          <a:pPr lvl="0" algn="ctr" defTabSz="622300">
            <a:lnSpc>
              <a:spcPct val="90000"/>
            </a:lnSpc>
            <a:spcBef>
              <a:spcPct val="0"/>
            </a:spcBef>
            <a:spcAft>
              <a:spcPct val="35000"/>
            </a:spcAft>
          </a:pPr>
          <a:r>
            <a:rPr lang="en-GB" sz="1100" kern="1200"/>
            <a:t>How much to pay and when to meet current and future payments</a:t>
          </a:r>
        </a:p>
      </dsp:txBody>
      <dsp:txXfrm>
        <a:off x="1231435" y="78366"/>
        <a:ext cx="1653214" cy="780550"/>
      </dsp:txXfrm>
    </dsp:sp>
    <dsp:sp modelId="{B33CC81C-3B14-4591-82CD-A3B2EA1B8476}">
      <dsp:nvSpPr>
        <dsp:cNvPr id="0" name=""/>
        <dsp:cNvSpPr/>
      </dsp:nvSpPr>
      <dsp:spPr>
        <a:xfrm rot="3277164">
          <a:off x="2410851" y="1064587"/>
          <a:ext cx="289769" cy="20975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3277164">
        <a:off x="2410851" y="1064587"/>
        <a:ext cx="289769" cy="209759"/>
      </dsp:txXfrm>
    </dsp:sp>
    <dsp:sp modelId="{FDB63B74-2B96-46B0-97F5-038E8D0CE558}">
      <dsp:nvSpPr>
        <dsp:cNvPr id="0" name=""/>
        <dsp:cNvSpPr/>
      </dsp:nvSpPr>
      <dsp:spPr>
        <a:xfrm>
          <a:off x="2266153" y="1480017"/>
          <a:ext cx="1577078" cy="7841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Statement of Investment Principles</a:t>
          </a:r>
        </a:p>
        <a:p>
          <a:pPr lvl="0" algn="ctr" defTabSz="533400">
            <a:lnSpc>
              <a:spcPct val="90000"/>
            </a:lnSpc>
            <a:spcBef>
              <a:spcPct val="0"/>
            </a:spcBef>
            <a:spcAft>
              <a:spcPct val="35000"/>
            </a:spcAft>
          </a:pPr>
          <a:r>
            <a:rPr lang="en-GB" sz="1100" kern="1200"/>
            <a:t>How the Fund will be invested and managed</a:t>
          </a:r>
        </a:p>
      </dsp:txBody>
      <dsp:txXfrm>
        <a:off x="2266153" y="1480017"/>
        <a:ext cx="1577078" cy="784104"/>
      </dsp:txXfrm>
    </dsp:sp>
    <dsp:sp modelId="{32920F05-F699-49DB-9E4D-0E9263C0FFC9}">
      <dsp:nvSpPr>
        <dsp:cNvPr id="0" name=""/>
        <dsp:cNvSpPr/>
      </dsp:nvSpPr>
      <dsp:spPr>
        <a:xfrm rot="10799172">
          <a:off x="1940162" y="1767423"/>
          <a:ext cx="289769" cy="20975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10799172">
        <a:off x="1940162" y="1767423"/>
        <a:ext cx="289769" cy="209759"/>
      </dsp:txXfrm>
    </dsp:sp>
    <dsp:sp modelId="{938DDAA5-2F66-497F-947F-80AEDDD9B13E}">
      <dsp:nvSpPr>
        <dsp:cNvPr id="0" name=""/>
        <dsp:cNvSpPr/>
      </dsp:nvSpPr>
      <dsp:spPr>
        <a:xfrm>
          <a:off x="320629" y="1462131"/>
          <a:ext cx="1583311" cy="8208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Funding Strategy Statement</a:t>
          </a:r>
        </a:p>
        <a:p>
          <a:pPr lvl="0" algn="ctr" defTabSz="533400">
            <a:lnSpc>
              <a:spcPct val="90000"/>
            </a:lnSpc>
            <a:spcBef>
              <a:spcPct val="0"/>
            </a:spcBef>
            <a:spcAft>
              <a:spcPct val="35000"/>
            </a:spcAft>
          </a:pPr>
          <a:r>
            <a:rPr lang="en-GB" sz="1000" kern="1200"/>
            <a:t>How solvency and risks will be managed having regard to liabilities</a:t>
          </a:r>
        </a:p>
      </dsp:txBody>
      <dsp:txXfrm>
        <a:off x="320629" y="1462131"/>
        <a:ext cx="1583311" cy="820812"/>
      </dsp:txXfrm>
    </dsp:sp>
    <dsp:sp modelId="{607FFA3A-5398-459B-8A9B-7B754F74BF06}">
      <dsp:nvSpPr>
        <dsp:cNvPr id="0" name=""/>
        <dsp:cNvSpPr/>
      </dsp:nvSpPr>
      <dsp:spPr>
        <a:xfrm rot="18238009">
          <a:off x="1447059" y="1055644"/>
          <a:ext cx="289769" cy="20975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18238009">
        <a:off x="1447059" y="1055644"/>
        <a:ext cx="289769" cy="209759"/>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F100-6A71-40A6-A5B6-E996A3BC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6331</Words>
  <Characters>36090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42337</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2011-09-30T07:46:00Z</cp:lastPrinted>
  <dcterms:created xsi:type="dcterms:W3CDTF">2014-03-10T11:46:00Z</dcterms:created>
  <dcterms:modified xsi:type="dcterms:W3CDTF">2014-03-13T11:42:00Z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PEERREVIEW">
    <vt:lpwstr>Peer Review Identifier</vt:lpwstr>
  </property>
  <property fmtid="{D5CDD505-2E9C-101B-9397-08002B2CF9AE}" pid="3" name="MPR_DocID">
    <vt:lpwstr>1753621e36924598bf8a5a6eddd3cc6c</vt:lpwstr>
  </property>
</Properties>
</file>